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48A9" w14:textId="40DD19AD" w:rsidR="00857F0A" w:rsidRPr="00485454" w:rsidRDefault="00857F0A" w:rsidP="00C90CF9">
      <w:pPr>
        <w:tabs>
          <w:tab w:val="left" w:pos="1418"/>
        </w:tabs>
        <w:spacing w:after="120"/>
        <w:ind w:left="1418" w:hanging="1418"/>
        <w:rPr>
          <w:rFonts w:eastAsia="Calibri" w:cs="Arial"/>
          <w:b/>
          <w:szCs w:val="22"/>
          <w:lang w:val="en-GB" w:eastAsia="en-US"/>
        </w:rPr>
      </w:pPr>
      <w:r w:rsidRPr="00485454">
        <w:rPr>
          <w:rFonts w:eastAsia="Calibri" w:cs="Arial"/>
          <w:b/>
          <w:szCs w:val="22"/>
          <w:lang w:val="en-GB" w:eastAsia="en-US"/>
        </w:rPr>
        <w:t>Project:</w:t>
      </w:r>
      <w:r w:rsidRPr="00485454">
        <w:rPr>
          <w:rFonts w:eastAsia="Calibri" w:cs="Arial"/>
          <w:b/>
          <w:szCs w:val="22"/>
          <w:lang w:val="en-GB" w:eastAsia="en-US"/>
        </w:rPr>
        <w:tab/>
      </w:r>
      <w:r w:rsidR="00074AB4" w:rsidRPr="00485454">
        <w:rPr>
          <w:rFonts w:eastAsia="Calibri" w:cs="Arial"/>
          <w:b/>
          <w:szCs w:val="22"/>
          <w:lang w:val="en-GB" w:eastAsia="en-US"/>
        </w:rPr>
        <w:t xml:space="preserve">Good </w:t>
      </w:r>
      <w:r w:rsidRPr="00485454">
        <w:rPr>
          <w:rFonts w:eastAsia="Calibri" w:cs="Arial"/>
          <w:b/>
          <w:szCs w:val="22"/>
          <w:lang w:val="en-GB" w:eastAsia="en-US"/>
        </w:rPr>
        <w:t xml:space="preserve">Governance </w:t>
      </w:r>
      <w:r w:rsidR="003D6EC8" w:rsidRPr="00485454">
        <w:rPr>
          <w:rFonts w:eastAsia="Calibri" w:cs="Arial"/>
          <w:b/>
          <w:szCs w:val="22"/>
          <w:lang w:val="en-GB" w:eastAsia="en-US"/>
        </w:rPr>
        <w:t xml:space="preserve">for Local Development </w:t>
      </w:r>
      <w:r w:rsidR="00557F3D" w:rsidRPr="00485454">
        <w:rPr>
          <w:rFonts w:eastAsia="Calibri" w:cs="Arial"/>
          <w:b/>
          <w:szCs w:val="22"/>
          <w:lang w:val="en-GB" w:eastAsia="en-US"/>
        </w:rPr>
        <w:t xml:space="preserve">in </w:t>
      </w:r>
      <w:r w:rsidRPr="00485454">
        <w:rPr>
          <w:rFonts w:eastAsia="Calibri" w:cs="Arial"/>
          <w:b/>
          <w:szCs w:val="22"/>
          <w:lang w:val="en-GB" w:eastAsia="en-US"/>
        </w:rPr>
        <w:t xml:space="preserve">South Caucasus </w:t>
      </w:r>
    </w:p>
    <w:p w14:paraId="2B42724F" w14:textId="57CEF0C5" w:rsidR="00857F0A" w:rsidRPr="00485454" w:rsidRDefault="00857F0A" w:rsidP="76F87887">
      <w:pPr>
        <w:tabs>
          <w:tab w:val="left" w:pos="1418"/>
        </w:tabs>
        <w:spacing w:after="120"/>
        <w:ind w:left="1418" w:hanging="1418"/>
        <w:rPr>
          <w:rFonts w:eastAsia="Calibri" w:cs="Arial"/>
          <w:b/>
          <w:szCs w:val="22"/>
          <w:lang w:val="en-GB" w:eastAsia="en-US"/>
        </w:rPr>
      </w:pPr>
      <w:r w:rsidRPr="00485454">
        <w:rPr>
          <w:rFonts w:eastAsia="Calibri" w:cs="Arial"/>
          <w:b/>
          <w:szCs w:val="22"/>
          <w:lang w:val="en-GB" w:eastAsia="en-US"/>
        </w:rPr>
        <w:t xml:space="preserve">PN: </w:t>
      </w:r>
      <w:r w:rsidRPr="00485454">
        <w:rPr>
          <w:rFonts w:eastAsia="Calibri" w:cs="Arial"/>
          <w:b/>
          <w:szCs w:val="22"/>
          <w:lang w:val="en-GB" w:eastAsia="en-US"/>
        </w:rPr>
        <w:tab/>
      </w:r>
      <w:r w:rsidR="005F22A6" w:rsidRPr="00485454">
        <w:rPr>
          <w:rFonts w:eastAsia="Calibri" w:cs="Arial"/>
          <w:b/>
          <w:szCs w:val="22"/>
          <w:lang w:val="en-GB" w:eastAsia="en-US"/>
        </w:rPr>
        <w:t>19.2204.6-002.00</w:t>
      </w:r>
    </w:p>
    <w:p w14:paraId="2F27FE4B" w14:textId="74EF0DD1" w:rsidR="00857F0A" w:rsidRPr="00485454" w:rsidRDefault="00857F0A" w:rsidP="05FC6599">
      <w:pPr>
        <w:tabs>
          <w:tab w:val="left" w:pos="1418"/>
        </w:tabs>
        <w:spacing w:after="120"/>
        <w:ind w:left="1418" w:hanging="1418"/>
        <w:rPr>
          <w:rFonts w:eastAsia="Calibri" w:cs="Arial"/>
          <w:b/>
          <w:bCs/>
          <w:lang w:val="en-GB" w:eastAsia="en-US"/>
        </w:rPr>
      </w:pPr>
      <w:r w:rsidRPr="05FC6599">
        <w:rPr>
          <w:rFonts w:eastAsia="Calibri" w:cs="Arial"/>
          <w:b/>
          <w:bCs/>
          <w:lang w:val="en-GB" w:eastAsia="en-US"/>
        </w:rPr>
        <w:t>Mission:</w:t>
      </w:r>
      <w:r w:rsidRPr="006731D7">
        <w:rPr>
          <w:lang w:val="en-US"/>
        </w:rPr>
        <w:tab/>
      </w:r>
      <w:r w:rsidR="008B1E4B" w:rsidRPr="05FC6599">
        <w:rPr>
          <w:rFonts w:eastAsia="Calibri" w:cs="Arial"/>
          <w:b/>
          <w:bCs/>
          <w:lang w:val="en-GB" w:eastAsia="en-US"/>
        </w:rPr>
        <w:t xml:space="preserve">Design of LED Development </w:t>
      </w:r>
      <w:r w:rsidR="34EB8EED" w:rsidRPr="05FC6599">
        <w:rPr>
          <w:rFonts w:eastAsia="Calibri" w:cs="Arial"/>
          <w:b/>
          <w:bCs/>
          <w:lang w:val="en-GB" w:eastAsia="en-US"/>
        </w:rPr>
        <w:t>Plans</w:t>
      </w:r>
      <w:r w:rsidR="008B1E4B" w:rsidRPr="05FC6599">
        <w:rPr>
          <w:rFonts w:eastAsia="Calibri" w:cs="Arial"/>
          <w:b/>
          <w:bCs/>
          <w:lang w:val="en-GB" w:eastAsia="en-US"/>
        </w:rPr>
        <w:t xml:space="preserve"> in </w:t>
      </w:r>
      <w:r w:rsidR="00A67C59" w:rsidRPr="05FC6599">
        <w:rPr>
          <w:rFonts w:eastAsia="Calibri" w:cs="Arial"/>
          <w:b/>
          <w:bCs/>
          <w:lang w:val="en-GB" w:eastAsia="en-US"/>
        </w:rPr>
        <w:t>34</w:t>
      </w:r>
      <w:r w:rsidR="003D6EC8" w:rsidRPr="05FC6599">
        <w:rPr>
          <w:rFonts w:eastAsia="Calibri" w:cs="Arial"/>
          <w:b/>
          <w:bCs/>
          <w:lang w:val="en-GB" w:eastAsia="en-US"/>
        </w:rPr>
        <w:t xml:space="preserve"> </w:t>
      </w:r>
      <w:r w:rsidR="008B1E4B" w:rsidRPr="05FC6599">
        <w:rPr>
          <w:rFonts w:eastAsia="Calibri" w:cs="Arial"/>
          <w:b/>
          <w:bCs/>
          <w:lang w:val="en-GB" w:eastAsia="en-US"/>
        </w:rPr>
        <w:t>enlarged LSGs</w:t>
      </w:r>
      <w:r w:rsidR="41B0E998" w:rsidRPr="05FC6599">
        <w:rPr>
          <w:rFonts w:eastAsia="Calibri" w:cs="Arial"/>
          <w:b/>
          <w:bCs/>
          <w:lang w:val="en-GB" w:eastAsia="en-US"/>
        </w:rPr>
        <w:t>, Training of LED Core Group and Improvement of Subvention Scheme</w:t>
      </w:r>
    </w:p>
    <w:p w14:paraId="2C534290" w14:textId="2857434E" w:rsidR="00857F0A" w:rsidRPr="00485454" w:rsidRDefault="00557F3D" w:rsidP="05FC6599">
      <w:pPr>
        <w:tabs>
          <w:tab w:val="left" w:pos="1418"/>
        </w:tabs>
        <w:spacing w:after="120"/>
        <w:ind w:left="1418" w:hanging="1418"/>
        <w:rPr>
          <w:rFonts w:eastAsia="Calibri" w:cs="Arial"/>
          <w:b/>
          <w:bCs/>
          <w:lang w:val="en-GB" w:eastAsia="en-US"/>
        </w:rPr>
      </w:pPr>
      <w:r w:rsidRPr="05FC6599">
        <w:rPr>
          <w:rFonts w:eastAsia="Calibri" w:cs="Arial"/>
          <w:b/>
          <w:bCs/>
          <w:lang w:val="en-GB" w:eastAsia="en-US"/>
        </w:rPr>
        <w:t>Period</w:t>
      </w:r>
      <w:r w:rsidR="00857F0A" w:rsidRPr="05FC6599">
        <w:rPr>
          <w:rFonts w:eastAsia="Calibri" w:cs="Arial"/>
          <w:b/>
          <w:bCs/>
          <w:lang w:val="en-GB" w:eastAsia="en-US"/>
        </w:rPr>
        <w:t>:</w:t>
      </w:r>
      <w:r>
        <w:tab/>
      </w:r>
      <w:r w:rsidR="00485ED3" w:rsidRPr="05FC6599">
        <w:rPr>
          <w:rFonts w:eastAsia="Calibri" w:cs="Arial"/>
          <w:b/>
          <w:bCs/>
          <w:lang w:val="en-GB" w:eastAsia="en-US"/>
        </w:rPr>
        <w:t>01</w:t>
      </w:r>
      <w:r w:rsidRPr="05FC6599">
        <w:rPr>
          <w:rFonts w:eastAsia="Calibri" w:cs="Arial"/>
          <w:b/>
          <w:bCs/>
          <w:lang w:val="en-GB" w:eastAsia="en-US"/>
        </w:rPr>
        <w:t>.0</w:t>
      </w:r>
      <w:r w:rsidR="00485ED3" w:rsidRPr="05FC6599">
        <w:rPr>
          <w:rFonts w:eastAsia="Calibri" w:cs="Arial"/>
          <w:b/>
          <w:bCs/>
          <w:lang w:val="en-GB" w:eastAsia="en-US"/>
        </w:rPr>
        <w:t>4</w:t>
      </w:r>
      <w:r w:rsidRPr="05FC6599">
        <w:rPr>
          <w:rFonts w:eastAsia="Calibri" w:cs="Arial"/>
          <w:b/>
          <w:bCs/>
          <w:lang w:val="en-GB" w:eastAsia="en-US"/>
        </w:rPr>
        <w:t>.</w:t>
      </w:r>
      <w:r w:rsidR="005719D7" w:rsidRPr="05FC6599">
        <w:rPr>
          <w:rFonts w:eastAsia="Calibri" w:cs="Arial"/>
          <w:b/>
          <w:bCs/>
          <w:lang w:val="en-GB" w:eastAsia="en-US"/>
        </w:rPr>
        <w:t>20</w:t>
      </w:r>
      <w:r w:rsidR="003D6EC8" w:rsidRPr="05FC6599">
        <w:rPr>
          <w:rFonts w:eastAsia="Calibri" w:cs="Arial"/>
          <w:b/>
          <w:bCs/>
          <w:lang w:val="en-GB" w:eastAsia="en-US"/>
        </w:rPr>
        <w:t>2</w:t>
      </w:r>
      <w:r w:rsidR="00A67C59" w:rsidRPr="05FC6599">
        <w:rPr>
          <w:rFonts w:eastAsia="Calibri" w:cs="Arial"/>
          <w:b/>
          <w:bCs/>
          <w:lang w:val="en-GB" w:eastAsia="en-US"/>
        </w:rPr>
        <w:t>1</w:t>
      </w:r>
      <w:r w:rsidRPr="05FC6599">
        <w:rPr>
          <w:rFonts w:eastAsia="Calibri" w:cs="Arial"/>
          <w:b/>
          <w:bCs/>
          <w:lang w:val="en-GB" w:eastAsia="en-US"/>
        </w:rPr>
        <w:t xml:space="preserve"> </w:t>
      </w:r>
      <w:r w:rsidR="00411A97" w:rsidRPr="05FC6599">
        <w:rPr>
          <w:rFonts w:eastAsia="Calibri" w:cs="Arial"/>
          <w:b/>
          <w:bCs/>
          <w:lang w:val="en-GB" w:eastAsia="en-US"/>
        </w:rPr>
        <w:t>–</w:t>
      </w:r>
      <w:r w:rsidRPr="05FC6599">
        <w:rPr>
          <w:rFonts w:eastAsia="Calibri" w:cs="Arial"/>
          <w:b/>
          <w:bCs/>
          <w:lang w:val="en-GB" w:eastAsia="en-US"/>
        </w:rPr>
        <w:t xml:space="preserve"> </w:t>
      </w:r>
      <w:r w:rsidR="00485ED3" w:rsidRPr="05FC6599">
        <w:rPr>
          <w:rFonts w:eastAsia="Calibri" w:cs="Arial"/>
          <w:b/>
          <w:bCs/>
          <w:lang w:val="en-GB" w:eastAsia="en-US"/>
        </w:rPr>
        <w:t>28.02.2023</w:t>
      </w:r>
    </w:p>
    <w:p w14:paraId="112D5473" w14:textId="77777777" w:rsidR="00ED75DA" w:rsidRPr="00485454" w:rsidRDefault="00ED75DA" w:rsidP="00C90CF9">
      <w:pPr>
        <w:tabs>
          <w:tab w:val="left" w:pos="1418"/>
        </w:tabs>
        <w:spacing w:after="120"/>
        <w:ind w:left="1418" w:hanging="1418"/>
        <w:rPr>
          <w:rFonts w:cs="Arial"/>
          <w:szCs w:val="22"/>
          <w:lang w:val="en-GB"/>
        </w:rPr>
      </w:pPr>
    </w:p>
    <w:p w14:paraId="130D73DB" w14:textId="77777777" w:rsidR="00ED75DA" w:rsidRPr="00485454" w:rsidRDefault="00ED75DA" w:rsidP="000C05D9">
      <w:pPr>
        <w:pStyle w:val="Listenabsatz"/>
        <w:numPr>
          <w:ilvl w:val="0"/>
          <w:numId w:val="25"/>
        </w:numPr>
        <w:spacing w:before="240" w:after="120"/>
        <w:ind w:left="714" w:hanging="357"/>
        <w:contextualSpacing w:val="0"/>
        <w:jc w:val="both"/>
        <w:rPr>
          <w:rFonts w:ascii="Arial" w:hAnsi="Arial" w:cs="Arial"/>
          <w:b/>
          <w:lang w:val="en-GB"/>
        </w:rPr>
      </w:pPr>
      <w:r w:rsidRPr="00485454">
        <w:rPr>
          <w:rFonts w:ascii="Arial" w:hAnsi="Arial" w:cs="Arial"/>
          <w:b/>
          <w:lang w:val="en-GB"/>
        </w:rPr>
        <w:t>Introduction</w:t>
      </w:r>
    </w:p>
    <w:p w14:paraId="6E41E886" w14:textId="69E79176" w:rsidR="00265A95" w:rsidRPr="00485454" w:rsidRDefault="00265A95" w:rsidP="76F87887">
      <w:pPr>
        <w:spacing w:after="120" w:line="276" w:lineRule="auto"/>
        <w:jc w:val="both"/>
        <w:rPr>
          <w:rFonts w:cs="Arial"/>
          <w:lang w:val="en-GB"/>
        </w:rPr>
      </w:pPr>
      <w:r w:rsidRPr="00485454">
        <w:rPr>
          <w:rFonts w:cs="Arial"/>
          <w:lang w:val="en-GB"/>
        </w:rPr>
        <w:t xml:space="preserve">The “Good Governance for Local Development in South Caucasus” </w:t>
      </w:r>
      <w:r w:rsidR="004E58D8" w:rsidRPr="00485454">
        <w:rPr>
          <w:rFonts w:cs="Arial"/>
          <w:lang w:val="en-GB"/>
        </w:rPr>
        <w:t xml:space="preserve">Programme </w:t>
      </w:r>
      <w:r w:rsidRPr="00485454">
        <w:rPr>
          <w:rFonts w:cs="Arial"/>
          <w:lang w:val="en-GB"/>
        </w:rPr>
        <w:t xml:space="preserve">(GGLD) aims at strengthening the capacities of public institutions in the South Caucasus to the effect that they are better able to provide citizen-oriented services. The project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project advises on the introduction of participation and complaint mechanisms and supports respective awareness raising for citizens. The </w:t>
      </w:r>
      <w:r w:rsidR="00424F12" w:rsidRPr="00485454">
        <w:rPr>
          <w:rFonts w:cs="Arial"/>
          <w:lang w:val="en-GB"/>
        </w:rPr>
        <w:t xml:space="preserve">Programme </w:t>
      </w:r>
      <w:r w:rsidRPr="00485454">
        <w:rPr>
          <w:rFonts w:cs="Arial"/>
          <w:lang w:val="en-GB"/>
        </w:rPr>
        <w:t>also supports the elaboration and implementation of strategies and instruments for regional development and local economic development. As a part of the German Caucasus Initiative, the project promotes professional exchange of knowledge and experiences between the countries of the South Caucasus.</w:t>
      </w:r>
    </w:p>
    <w:p w14:paraId="036CD123" w14:textId="6B5005D5" w:rsidR="003D6EC8" w:rsidRPr="00485454" w:rsidRDefault="003D6EC8" w:rsidP="00E43662">
      <w:pPr>
        <w:spacing w:after="120" w:line="276" w:lineRule="auto"/>
        <w:jc w:val="both"/>
        <w:rPr>
          <w:rFonts w:cs="Arial"/>
          <w:lang w:val="en-GB"/>
        </w:rPr>
      </w:pPr>
      <w:r w:rsidRPr="00485454">
        <w:rPr>
          <w:rFonts w:cs="Arial"/>
          <w:lang w:val="en-GB"/>
        </w:rPr>
        <w:t xml:space="preserve">The </w:t>
      </w:r>
      <w:r w:rsidR="00424F12" w:rsidRPr="00485454">
        <w:rPr>
          <w:rFonts w:cs="Arial"/>
          <w:lang w:val="en-GB"/>
        </w:rPr>
        <w:t xml:space="preserve">Programme </w:t>
      </w:r>
      <w:r w:rsidRPr="00485454">
        <w:rPr>
          <w:rFonts w:cs="Arial"/>
          <w:lang w:val="en-GB"/>
        </w:rPr>
        <w:t>is implemented on behalf of the German Federal Ministry for Economic Cooperation and Development (BMZ) and in Armenia co-financed by Swiss Agency for Development and Cooperation (SDC). It is carried out in close cooperation with the Ministry of Territorial Administration and Infrastructure (MTAI) as the main political partner.</w:t>
      </w:r>
    </w:p>
    <w:p w14:paraId="7F7F8A4D" w14:textId="28799362" w:rsidR="00265A95" w:rsidRPr="00485454" w:rsidRDefault="00265A95" w:rsidP="00E43662">
      <w:pPr>
        <w:spacing w:after="120" w:line="276" w:lineRule="auto"/>
        <w:jc w:val="both"/>
        <w:rPr>
          <w:rFonts w:cs="Arial"/>
          <w:lang w:val="en-GB"/>
        </w:rPr>
      </w:pPr>
      <w:r w:rsidRPr="00485454">
        <w:rPr>
          <w:rFonts w:cs="Arial"/>
          <w:lang w:val="en-GB"/>
        </w:rPr>
        <w:t xml:space="preserve">One result area of the </w:t>
      </w:r>
      <w:r w:rsidR="00862238" w:rsidRPr="00485454">
        <w:rPr>
          <w:rFonts w:cs="Arial"/>
          <w:lang w:val="en-GB"/>
        </w:rPr>
        <w:t xml:space="preserve">Programme </w:t>
      </w:r>
      <w:r w:rsidRPr="00485454">
        <w:rPr>
          <w:rFonts w:cs="Arial"/>
          <w:lang w:val="en-GB"/>
        </w:rPr>
        <w:t xml:space="preserve">is the promotion of local economic development (LED). In contrast to direct promotion of the private sector and strengthening of small and medium enterprises, GGLD focuses on the role of the public sector in managing </w:t>
      </w:r>
      <w:r w:rsidR="00A67C59" w:rsidRPr="00485454">
        <w:rPr>
          <w:rFonts w:cs="Arial"/>
          <w:lang w:val="en-GB"/>
        </w:rPr>
        <w:t xml:space="preserve">and guiding </w:t>
      </w:r>
      <w:r w:rsidRPr="00485454">
        <w:rPr>
          <w:rFonts w:cs="Arial"/>
          <w:lang w:val="en-GB"/>
        </w:rPr>
        <w:t xml:space="preserve">local development together with all relevant actors on the ground and providing </w:t>
      </w:r>
      <w:r w:rsidR="00C3087A" w:rsidRPr="00485454">
        <w:rPr>
          <w:rFonts w:cs="Arial"/>
          <w:lang w:val="en-GB"/>
        </w:rPr>
        <w:t xml:space="preserve">a </w:t>
      </w:r>
      <w:r w:rsidRPr="00485454">
        <w:rPr>
          <w:rFonts w:cs="Arial"/>
          <w:lang w:val="en-GB"/>
        </w:rPr>
        <w:t>favourable environment for business development. This includes technical assistance to the national and local authorities to institute an enabling framework for local economic development, as well as to enhance capacities, knowledge</w:t>
      </w:r>
      <w:r w:rsidR="00801E4B" w:rsidRPr="00485454">
        <w:rPr>
          <w:rFonts w:cs="Arial"/>
          <w:lang w:val="en-GB"/>
        </w:rPr>
        <w:t>,</w:t>
      </w:r>
      <w:r w:rsidRPr="00485454">
        <w:rPr>
          <w:rFonts w:cs="Arial"/>
          <w:lang w:val="en-GB"/>
        </w:rPr>
        <w:t xml:space="preserve"> and skills of the Armenian municipalities, enabling local governments to make better use of resources and increasing their role as development actors</w:t>
      </w:r>
      <w:r w:rsidR="00A67C59" w:rsidRPr="00485454">
        <w:rPr>
          <w:rFonts w:cs="Arial"/>
          <w:lang w:val="en-GB"/>
        </w:rPr>
        <w:t xml:space="preserve"> through </w:t>
      </w:r>
      <w:r w:rsidR="00801E4B" w:rsidRPr="00485454">
        <w:rPr>
          <w:rFonts w:cs="Arial"/>
          <w:lang w:val="en-GB"/>
        </w:rPr>
        <w:t xml:space="preserve">the </w:t>
      </w:r>
      <w:r w:rsidR="00A67C59" w:rsidRPr="00485454">
        <w:rPr>
          <w:rFonts w:cs="Arial"/>
          <w:lang w:val="en-GB"/>
        </w:rPr>
        <w:t>establishment of business-friendly community criteria.</w:t>
      </w:r>
    </w:p>
    <w:p w14:paraId="73613AEC" w14:textId="53D22C10" w:rsidR="6D13DA79" w:rsidRPr="00485454" w:rsidRDefault="00ED75DA" w:rsidP="6D13DA79">
      <w:pPr>
        <w:pStyle w:val="Listenabsatz"/>
        <w:numPr>
          <w:ilvl w:val="0"/>
          <w:numId w:val="25"/>
        </w:numPr>
        <w:spacing w:before="240" w:after="120"/>
        <w:ind w:left="714" w:hanging="357"/>
        <w:contextualSpacing w:val="0"/>
        <w:jc w:val="both"/>
        <w:rPr>
          <w:rFonts w:ascii="Arial" w:hAnsi="Arial" w:cs="Arial"/>
          <w:b/>
          <w:bCs/>
          <w:lang w:val="en-GB"/>
        </w:rPr>
      </w:pPr>
      <w:r w:rsidRPr="00485454">
        <w:rPr>
          <w:rFonts w:ascii="Arial" w:hAnsi="Arial" w:cs="Arial"/>
          <w:b/>
          <w:bCs/>
          <w:lang w:val="en-GB"/>
        </w:rPr>
        <w:t xml:space="preserve">Background </w:t>
      </w:r>
      <w:r w:rsidR="002C2211" w:rsidRPr="00485454">
        <w:rPr>
          <w:rFonts w:ascii="Arial" w:hAnsi="Arial" w:cs="Arial"/>
          <w:b/>
          <w:bCs/>
          <w:lang w:val="en-GB"/>
        </w:rPr>
        <w:t xml:space="preserve">of the </w:t>
      </w:r>
      <w:r w:rsidRPr="00485454">
        <w:rPr>
          <w:rFonts w:ascii="Arial" w:hAnsi="Arial" w:cs="Arial"/>
          <w:b/>
          <w:bCs/>
          <w:lang w:val="en-GB"/>
        </w:rPr>
        <w:t>assignment</w:t>
      </w:r>
    </w:p>
    <w:p w14:paraId="70ED8371" w14:textId="3D5ECD92" w:rsidR="00016737" w:rsidRPr="00485454" w:rsidRDefault="00215946" w:rsidP="6D13DA79">
      <w:pPr>
        <w:spacing w:after="120" w:line="276" w:lineRule="auto"/>
        <w:rPr>
          <w:rFonts w:cs="Arial"/>
          <w:lang w:val="en-GB"/>
        </w:rPr>
      </w:pPr>
      <w:r w:rsidRPr="00485454">
        <w:rPr>
          <w:rFonts w:cs="Arial"/>
          <w:lang w:val="en-GB"/>
        </w:rPr>
        <w:t xml:space="preserve">Local economic development is set </w:t>
      </w:r>
      <w:r w:rsidR="008B1E4B" w:rsidRPr="00485454">
        <w:rPr>
          <w:rFonts w:cs="Arial"/>
          <w:lang w:val="en-GB"/>
        </w:rPr>
        <w:t xml:space="preserve">as a priority by the </w:t>
      </w:r>
      <w:r w:rsidR="00857192" w:rsidRPr="00485454">
        <w:rPr>
          <w:rFonts w:cs="Arial"/>
          <w:lang w:val="en-GB"/>
        </w:rPr>
        <w:t>Armenian G</w:t>
      </w:r>
      <w:r w:rsidR="008B1E4B" w:rsidRPr="00485454">
        <w:rPr>
          <w:rFonts w:cs="Arial"/>
          <w:lang w:val="en-GB"/>
        </w:rPr>
        <w:t>overnment (</w:t>
      </w:r>
      <w:r w:rsidR="00857192" w:rsidRPr="00485454">
        <w:rPr>
          <w:rFonts w:cs="Arial"/>
          <w:lang w:val="en-GB"/>
        </w:rPr>
        <w:t xml:space="preserve">RA </w:t>
      </w:r>
      <w:r w:rsidR="008B1E4B" w:rsidRPr="00485454">
        <w:rPr>
          <w:rFonts w:cs="Arial"/>
          <w:lang w:val="en-GB"/>
        </w:rPr>
        <w:t>Government Programme of Activities</w:t>
      </w:r>
      <w:r w:rsidR="00DD0341" w:rsidRPr="00485454">
        <w:rPr>
          <w:rStyle w:val="Funotenzeichen"/>
          <w:rFonts w:cs="Arial"/>
          <w:lang w:val="en-GB"/>
        </w:rPr>
        <w:footnoteReference w:id="1"/>
      </w:r>
      <w:r w:rsidR="00A67C59" w:rsidRPr="00485454">
        <w:rPr>
          <w:rFonts w:cs="Arial"/>
          <w:lang w:val="en-GB"/>
        </w:rPr>
        <w:t xml:space="preserve"> (N65-A, 8.02.2019)</w:t>
      </w:r>
      <w:r w:rsidR="00265A95" w:rsidRPr="00485454">
        <w:rPr>
          <w:rFonts w:cs="Arial"/>
          <w:lang w:val="en-GB"/>
        </w:rPr>
        <w:t>, Armenian Regional Development Strategy 2019-2025 (draft),</w:t>
      </w:r>
      <w:r w:rsidR="008B1E4B" w:rsidRPr="00485454">
        <w:rPr>
          <w:rFonts w:cs="Arial"/>
          <w:lang w:val="en-GB"/>
        </w:rPr>
        <w:t xml:space="preserve"> and National Development Strategy 2014-2025) as a decisive precondition for sustainable socio-economic development at local level.</w:t>
      </w:r>
      <w:r w:rsidRPr="00485454">
        <w:rPr>
          <w:rFonts w:cs="Arial"/>
          <w:lang w:val="en-GB"/>
        </w:rPr>
        <w:t xml:space="preserve"> </w:t>
      </w:r>
      <w:r w:rsidR="005A7D20" w:rsidRPr="00485454">
        <w:rPr>
          <w:rFonts w:cs="Arial"/>
          <w:lang w:val="en-GB"/>
        </w:rPr>
        <w:t xml:space="preserve">The </w:t>
      </w:r>
      <w:r w:rsidRPr="00485454">
        <w:rPr>
          <w:rFonts w:cs="Arial"/>
          <w:lang w:val="en-GB"/>
        </w:rPr>
        <w:t>Government</w:t>
      </w:r>
      <w:r w:rsidR="00A67C59" w:rsidRPr="00485454">
        <w:rPr>
          <w:rFonts w:cs="Arial"/>
          <w:lang w:val="en-GB"/>
        </w:rPr>
        <w:t xml:space="preserve">’s efforts to </w:t>
      </w:r>
      <w:r w:rsidRPr="00485454">
        <w:rPr>
          <w:rFonts w:cs="Arial"/>
          <w:lang w:val="en-GB"/>
        </w:rPr>
        <w:t>establish socio-economic, including productive infrastructures</w:t>
      </w:r>
      <w:r w:rsidR="00A67C59" w:rsidRPr="00485454">
        <w:rPr>
          <w:rFonts w:cs="Arial"/>
          <w:lang w:val="en-GB"/>
        </w:rPr>
        <w:t xml:space="preserve"> are </w:t>
      </w:r>
      <w:r w:rsidRPr="00485454">
        <w:rPr>
          <w:rFonts w:cs="Arial"/>
          <w:lang w:val="en-GB"/>
        </w:rPr>
        <w:t>reflected, among other, in subventions</w:t>
      </w:r>
      <w:r w:rsidR="00780B0E" w:rsidRPr="00485454">
        <w:rPr>
          <w:rFonts w:cs="Arial"/>
          <w:lang w:val="en-GB"/>
        </w:rPr>
        <w:t xml:space="preserve"> (i.e.</w:t>
      </w:r>
      <w:r w:rsidR="002B174C" w:rsidRPr="00485454">
        <w:rPr>
          <w:rFonts w:cs="Arial"/>
          <w:lang w:val="en-GB"/>
        </w:rPr>
        <w:t>,</w:t>
      </w:r>
      <w:r w:rsidRPr="00485454">
        <w:rPr>
          <w:rFonts w:cs="Arial"/>
          <w:lang w:val="en-GB"/>
        </w:rPr>
        <w:t xml:space="preserve"> earmarked allocations for construction, rehabilitation and upgrading </w:t>
      </w:r>
      <w:r w:rsidR="00A67C59" w:rsidRPr="00485454">
        <w:rPr>
          <w:rFonts w:cs="Arial"/>
          <w:lang w:val="en-GB"/>
        </w:rPr>
        <w:t>infrastructures</w:t>
      </w:r>
      <w:r w:rsidR="00780B0E" w:rsidRPr="00485454">
        <w:rPr>
          <w:rFonts w:cs="Arial"/>
          <w:lang w:val="en-GB"/>
        </w:rPr>
        <w:t xml:space="preserve">, such as </w:t>
      </w:r>
      <w:r w:rsidRPr="00485454">
        <w:rPr>
          <w:rFonts w:cs="Arial"/>
          <w:lang w:val="en-GB"/>
        </w:rPr>
        <w:t>roads, gas, energy, production</w:t>
      </w:r>
      <w:r w:rsidR="00A67C59" w:rsidRPr="00485454">
        <w:rPr>
          <w:rFonts w:cs="Arial"/>
          <w:lang w:val="en-GB"/>
        </w:rPr>
        <w:t xml:space="preserve">, </w:t>
      </w:r>
      <w:r w:rsidRPr="00485454">
        <w:rPr>
          <w:rFonts w:cs="Arial"/>
          <w:lang w:val="en-GB"/>
        </w:rPr>
        <w:t>marketing facilities</w:t>
      </w:r>
      <w:r w:rsidR="00A67C59" w:rsidRPr="00485454">
        <w:rPr>
          <w:rFonts w:cs="Arial"/>
          <w:lang w:val="en-GB"/>
        </w:rPr>
        <w:t>, etc.)</w:t>
      </w:r>
      <w:r w:rsidRPr="00485454">
        <w:rPr>
          <w:rFonts w:cs="Arial"/>
          <w:lang w:val="en-GB"/>
        </w:rPr>
        <w:t>.</w:t>
      </w:r>
      <w:r w:rsidR="00D654A1" w:rsidRPr="00485454">
        <w:rPr>
          <w:rFonts w:cs="Arial"/>
          <w:lang w:val="en-GB"/>
        </w:rPr>
        <w:t xml:space="preserve"> </w:t>
      </w:r>
      <w:r w:rsidR="00A67C59" w:rsidRPr="00485454">
        <w:rPr>
          <w:rFonts w:cs="Arial"/>
          <w:lang w:val="en-GB"/>
        </w:rPr>
        <w:t xml:space="preserve">Recent amendments in tax legislation </w:t>
      </w:r>
      <w:r w:rsidR="00A67C59" w:rsidRPr="00485454">
        <w:rPr>
          <w:rFonts w:cs="Arial"/>
          <w:lang w:val="en-GB"/>
        </w:rPr>
        <w:lastRenderedPageBreak/>
        <w:t xml:space="preserve">reviews also aim at encouraging entrepreneurship and business development at local level. </w:t>
      </w:r>
      <w:r w:rsidR="00D654A1" w:rsidRPr="00485454">
        <w:rPr>
          <w:rFonts w:cs="Arial"/>
          <w:lang w:val="en-GB"/>
        </w:rPr>
        <w:t>These efforts are accompanied with programmatic technical and financial support by donors</w:t>
      </w:r>
      <w:r w:rsidR="007E2FF8" w:rsidRPr="00485454">
        <w:rPr>
          <w:rFonts w:cs="Arial"/>
          <w:lang w:val="en-GB"/>
        </w:rPr>
        <w:t xml:space="preserve"> and implementing agencies</w:t>
      </w:r>
      <w:r w:rsidR="00D654A1" w:rsidRPr="00485454">
        <w:rPr>
          <w:rFonts w:cs="Arial"/>
          <w:lang w:val="en-GB"/>
        </w:rPr>
        <w:t xml:space="preserve">, such as </w:t>
      </w:r>
      <w:r w:rsidR="00265A95" w:rsidRPr="00485454">
        <w:rPr>
          <w:rFonts w:cs="Arial"/>
          <w:lang w:val="en-GB"/>
        </w:rPr>
        <w:t>World Bank (</w:t>
      </w:r>
      <w:r w:rsidR="00D654A1" w:rsidRPr="00485454">
        <w:rPr>
          <w:rFonts w:cs="Arial"/>
          <w:lang w:val="en-GB"/>
        </w:rPr>
        <w:t>WB</w:t>
      </w:r>
      <w:r w:rsidR="00265A95" w:rsidRPr="00485454">
        <w:rPr>
          <w:rFonts w:cs="Arial"/>
          <w:lang w:val="en-GB"/>
        </w:rPr>
        <w:t>)</w:t>
      </w:r>
      <w:r w:rsidR="00D654A1" w:rsidRPr="00485454">
        <w:rPr>
          <w:rFonts w:cs="Arial"/>
          <w:lang w:val="en-GB"/>
        </w:rPr>
        <w:t xml:space="preserve"> (</w:t>
      </w:r>
      <w:r w:rsidR="0F4AA5E7" w:rsidRPr="00485454">
        <w:rPr>
          <w:rFonts w:cs="Arial"/>
          <w:lang w:val="en-GB"/>
        </w:rPr>
        <w:t xml:space="preserve">Social Investment and Local Development Project, </w:t>
      </w:r>
      <w:r w:rsidR="00D654A1" w:rsidRPr="00485454">
        <w:rPr>
          <w:rFonts w:cs="Arial"/>
          <w:lang w:val="en-GB"/>
        </w:rPr>
        <w:t xml:space="preserve">SILD via </w:t>
      </w:r>
      <w:r w:rsidR="00197DB9" w:rsidRPr="00485454">
        <w:rPr>
          <w:rFonts w:cs="Arial"/>
          <w:lang w:val="en-GB"/>
        </w:rPr>
        <w:t xml:space="preserve">the Armenian Territorial Development Fund </w:t>
      </w:r>
      <w:r w:rsidR="009D10BF" w:rsidRPr="00485454">
        <w:rPr>
          <w:rFonts w:cs="Arial"/>
          <w:lang w:val="en-GB"/>
        </w:rPr>
        <w:t>(</w:t>
      </w:r>
      <w:r w:rsidR="00D654A1" w:rsidRPr="00485454">
        <w:rPr>
          <w:rFonts w:cs="Arial"/>
          <w:lang w:val="en-GB"/>
        </w:rPr>
        <w:t>ATDF</w:t>
      </w:r>
      <w:r w:rsidR="009D10BF" w:rsidRPr="00485454">
        <w:rPr>
          <w:rFonts w:cs="Arial"/>
          <w:lang w:val="en-GB"/>
        </w:rPr>
        <w:t>)</w:t>
      </w:r>
      <w:r w:rsidR="00D654A1" w:rsidRPr="00485454">
        <w:rPr>
          <w:rFonts w:cs="Arial"/>
          <w:lang w:val="en-GB"/>
        </w:rPr>
        <w:t>), USAID</w:t>
      </w:r>
      <w:r w:rsidR="00265A95" w:rsidRPr="00485454">
        <w:rPr>
          <w:rFonts w:cs="Arial"/>
          <w:lang w:val="en-GB"/>
        </w:rPr>
        <w:t xml:space="preserve"> (Government to Government Grant through ATDF)</w:t>
      </w:r>
      <w:r w:rsidR="00D654A1" w:rsidRPr="00485454">
        <w:rPr>
          <w:rFonts w:cs="Arial"/>
          <w:lang w:val="en-GB"/>
        </w:rPr>
        <w:t xml:space="preserve">, </w:t>
      </w:r>
      <w:r w:rsidR="00A67C59" w:rsidRPr="00485454">
        <w:rPr>
          <w:rFonts w:cs="Arial"/>
          <w:lang w:val="en-GB"/>
        </w:rPr>
        <w:t xml:space="preserve">SDC (through ATDF), </w:t>
      </w:r>
      <w:r w:rsidR="00D654A1" w:rsidRPr="00485454">
        <w:rPr>
          <w:rFonts w:cs="Arial"/>
          <w:lang w:val="en-GB"/>
        </w:rPr>
        <w:t>EU (M</w:t>
      </w:r>
      <w:r w:rsidR="00A228F3" w:rsidRPr="00485454">
        <w:rPr>
          <w:rFonts w:cs="Arial"/>
          <w:lang w:val="en-GB"/>
        </w:rPr>
        <w:t xml:space="preserve">ayors for </w:t>
      </w:r>
      <w:r w:rsidR="00D654A1" w:rsidRPr="00485454">
        <w:rPr>
          <w:rFonts w:cs="Arial"/>
          <w:lang w:val="en-GB"/>
        </w:rPr>
        <w:t>E</w:t>
      </w:r>
      <w:r w:rsidR="00A228F3" w:rsidRPr="00485454">
        <w:rPr>
          <w:rFonts w:cs="Arial"/>
          <w:lang w:val="en-GB"/>
        </w:rPr>
        <w:t>conomic Growth</w:t>
      </w:r>
      <w:r w:rsidR="00265A95" w:rsidRPr="00485454">
        <w:rPr>
          <w:rFonts w:cs="Arial"/>
          <w:lang w:val="en-GB"/>
        </w:rPr>
        <w:t>, EU4Regions, LEAD Programme (to be implemented in the northern regions of Armenia Lori, Shirak, Tavush)</w:t>
      </w:r>
      <w:r w:rsidR="003E5C6E" w:rsidRPr="00485454">
        <w:rPr>
          <w:rFonts w:cs="Arial"/>
          <w:lang w:val="en-GB"/>
        </w:rPr>
        <w:t>)</w:t>
      </w:r>
      <w:r w:rsidR="00265A95" w:rsidRPr="00485454">
        <w:rPr>
          <w:rFonts w:cs="Arial"/>
          <w:lang w:val="en-GB"/>
        </w:rPr>
        <w:t>,</w:t>
      </w:r>
      <w:r w:rsidR="00D654A1" w:rsidRPr="00485454">
        <w:rPr>
          <w:rFonts w:cs="Arial"/>
          <w:lang w:val="en-GB"/>
        </w:rPr>
        <w:t xml:space="preserve"> etc.</w:t>
      </w:r>
    </w:p>
    <w:p w14:paraId="5573D8C9" w14:textId="3FD4B7B5" w:rsidR="00D654A1" w:rsidRPr="00485454" w:rsidRDefault="00780B0E" w:rsidP="0067044F">
      <w:pPr>
        <w:spacing w:after="200" w:line="276" w:lineRule="auto"/>
        <w:jc w:val="both"/>
        <w:rPr>
          <w:rFonts w:cs="Arial"/>
          <w:szCs w:val="22"/>
          <w:lang w:val="en-GB"/>
        </w:rPr>
      </w:pPr>
      <w:r w:rsidRPr="00485454">
        <w:rPr>
          <w:rFonts w:cs="Arial"/>
          <w:szCs w:val="22"/>
          <w:lang w:val="en-GB"/>
        </w:rPr>
        <w:t>T</w:t>
      </w:r>
      <w:r w:rsidR="00857192" w:rsidRPr="00485454">
        <w:rPr>
          <w:rFonts w:cs="Arial"/>
          <w:szCs w:val="22"/>
          <w:lang w:val="en-GB"/>
        </w:rPr>
        <w:t>he</w:t>
      </w:r>
      <w:r w:rsidR="00D654A1" w:rsidRPr="00485454">
        <w:rPr>
          <w:rFonts w:cs="Arial"/>
          <w:szCs w:val="22"/>
          <w:lang w:val="en-GB"/>
        </w:rPr>
        <w:t xml:space="preserve"> government adopted a Concept for Economic Growth Poles</w:t>
      </w:r>
      <w:r w:rsidR="00D654A1" w:rsidRPr="00485454">
        <w:rPr>
          <w:rStyle w:val="Funotenzeichen"/>
          <w:rFonts w:cs="Arial"/>
          <w:szCs w:val="22"/>
          <w:lang w:val="en-GB"/>
        </w:rPr>
        <w:footnoteReference w:id="2"/>
      </w:r>
      <w:r w:rsidR="00D654A1" w:rsidRPr="00485454">
        <w:rPr>
          <w:rFonts w:cs="Arial"/>
          <w:szCs w:val="22"/>
          <w:lang w:val="en-GB"/>
        </w:rPr>
        <w:t xml:space="preserve"> defining the notion, characteristics, functions and expected outcomes of economic growth poles, which are primarily urban settings in multi-settlement municipalities. Developed by the MTAI, the Concept replenishes the legal bases and support to tackling territorial disparities, identification of comparative advantages and development potential of localities</w:t>
      </w:r>
      <w:r w:rsidR="00C3087A" w:rsidRPr="00485454">
        <w:rPr>
          <w:rFonts w:cs="Arial"/>
          <w:szCs w:val="22"/>
          <w:lang w:val="en-GB"/>
        </w:rPr>
        <w:t>.</w:t>
      </w:r>
    </w:p>
    <w:p w14:paraId="7D3B0137" w14:textId="572B8F03" w:rsidR="00016737" w:rsidRPr="00485454" w:rsidRDefault="00215946" w:rsidP="76F87887">
      <w:pPr>
        <w:spacing w:after="200" w:line="276" w:lineRule="auto"/>
        <w:jc w:val="both"/>
        <w:rPr>
          <w:rFonts w:cs="Arial"/>
          <w:lang w:val="en-GB"/>
        </w:rPr>
      </w:pPr>
      <w:r w:rsidRPr="00485454">
        <w:rPr>
          <w:rFonts w:cs="Arial"/>
          <w:lang w:val="en-GB"/>
        </w:rPr>
        <w:t xml:space="preserve">The government plans to complete </w:t>
      </w:r>
      <w:r w:rsidR="005A54E5" w:rsidRPr="00485454">
        <w:rPr>
          <w:rFonts w:cs="Arial"/>
          <w:lang w:val="en-GB"/>
        </w:rPr>
        <w:t xml:space="preserve">the </w:t>
      </w:r>
      <w:r w:rsidRPr="00485454">
        <w:rPr>
          <w:rFonts w:cs="Arial"/>
          <w:lang w:val="en-GB"/>
        </w:rPr>
        <w:t>consolidation of communities by 2022 and views the process as the preamble to decentralisation and de-concentration of public governance, administration, economic development and financial systems</w:t>
      </w:r>
      <w:r w:rsidR="00857192" w:rsidRPr="00485454">
        <w:rPr>
          <w:rFonts w:cs="Arial"/>
          <w:lang w:val="en-GB"/>
        </w:rPr>
        <w:t xml:space="preserve"> </w:t>
      </w:r>
      <w:r w:rsidRPr="00485454">
        <w:rPr>
          <w:rFonts w:cs="Arial"/>
          <w:lang w:val="en-GB"/>
        </w:rPr>
        <w:t xml:space="preserve">at larger degree and depth. </w:t>
      </w:r>
      <w:r w:rsidR="00016737" w:rsidRPr="00485454">
        <w:rPr>
          <w:rFonts w:cs="Arial"/>
          <w:lang w:val="en-GB"/>
        </w:rPr>
        <w:t xml:space="preserve">As of </w:t>
      </w:r>
      <w:r w:rsidRPr="00485454">
        <w:rPr>
          <w:rFonts w:cs="Arial"/>
          <w:lang w:val="en-GB"/>
        </w:rPr>
        <w:t xml:space="preserve">May 2020, </w:t>
      </w:r>
      <w:r w:rsidR="00016737" w:rsidRPr="00485454">
        <w:rPr>
          <w:rFonts w:cs="Arial"/>
          <w:lang w:val="en-GB"/>
        </w:rPr>
        <w:t xml:space="preserve">52 consolidated municipalities </w:t>
      </w:r>
      <w:r w:rsidR="008B1E4B" w:rsidRPr="00485454">
        <w:rPr>
          <w:rFonts w:cs="Arial"/>
          <w:lang w:val="en-GB"/>
        </w:rPr>
        <w:t xml:space="preserve">(465 former municipalities) </w:t>
      </w:r>
      <w:r w:rsidR="004F2ECD" w:rsidRPr="00485454">
        <w:rPr>
          <w:rFonts w:cs="Arial"/>
          <w:lang w:val="en-GB"/>
        </w:rPr>
        <w:t xml:space="preserve">have been </w:t>
      </w:r>
      <w:r w:rsidR="00016737" w:rsidRPr="00485454">
        <w:rPr>
          <w:rFonts w:cs="Arial"/>
          <w:lang w:val="en-GB"/>
        </w:rPr>
        <w:t xml:space="preserve">established </w:t>
      </w:r>
      <w:r w:rsidR="004F2ECD" w:rsidRPr="00485454">
        <w:rPr>
          <w:rFonts w:cs="Arial"/>
          <w:lang w:val="en-GB"/>
        </w:rPr>
        <w:t xml:space="preserve">and </w:t>
      </w:r>
      <w:r w:rsidR="00611346" w:rsidRPr="00485454">
        <w:rPr>
          <w:rFonts w:cs="Arial"/>
          <w:lang w:val="en-GB"/>
        </w:rPr>
        <w:t xml:space="preserve">become </w:t>
      </w:r>
      <w:r w:rsidR="004F2ECD" w:rsidRPr="00485454">
        <w:rPr>
          <w:rFonts w:cs="Arial"/>
          <w:lang w:val="en-GB"/>
        </w:rPr>
        <w:t>operational</w:t>
      </w:r>
      <w:r w:rsidRPr="00485454">
        <w:rPr>
          <w:rFonts w:cs="Arial"/>
          <w:lang w:val="en-GB"/>
        </w:rPr>
        <w:t xml:space="preserve">, and decision on two more (Ijevan </w:t>
      </w:r>
      <w:r w:rsidR="00857192" w:rsidRPr="00485454">
        <w:rPr>
          <w:rFonts w:cs="Arial"/>
          <w:lang w:val="en-GB"/>
        </w:rPr>
        <w:t xml:space="preserve">(22 settlements) </w:t>
      </w:r>
      <w:r w:rsidRPr="00485454">
        <w:rPr>
          <w:rFonts w:cs="Arial"/>
          <w:lang w:val="en-GB"/>
        </w:rPr>
        <w:t>and Lermontovo</w:t>
      </w:r>
      <w:r w:rsidR="00857192" w:rsidRPr="00485454">
        <w:rPr>
          <w:rFonts w:cs="Arial"/>
          <w:lang w:val="en-GB"/>
        </w:rPr>
        <w:t xml:space="preserve"> (2 settlements)</w:t>
      </w:r>
      <w:r w:rsidRPr="00485454">
        <w:rPr>
          <w:rFonts w:cs="Arial"/>
          <w:lang w:val="en-GB"/>
        </w:rPr>
        <w:t xml:space="preserve">) </w:t>
      </w:r>
      <w:r w:rsidR="00056386" w:rsidRPr="00485454">
        <w:rPr>
          <w:rFonts w:cs="Arial"/>
          <w:lang w:val="en-GB"/>
        </w:rPr>
        <w:t>has been</w:t>
      </w:r>
      <w:r w:rsidR="002F421F" w:rsidRPr="00485454">
        <w:rPr>
          <w:rFonts w:cs="Arial"/>
          <w:lang w:val="en-GB"/>
        </w:rPr>
        <w:t xml:space="preserve"> </w:t>
      </w:r>
      <w:r w:rsidRPr="00485454">
        <w:rPr>
          <w:rFonts w:cs="Arial"/>
          <w:lang w:val="en-GB"/>
        </w:rPr>
        <w:t xml:space="preserve">taken. </w:t>
      </w:r>
    </w:p>
    <w:p w14:paraId="2E5FCDF9" w14:textId="1D7B925B" w:rsidR="004A5820" w:rsidRPr="00485454" w:rsidRDefault="004A43D7" w:rsidP="003B59D5">
      <w:pPr>
        <w:spacing w:after="200" w:line="276" w:lineRule="auto"/>
        <w:jc w:val="both"/>
        <w:rPr>
          <w:rFonts w:cs="Arial"/>
          <w:szCs w:val="22"/>
          <w:lang w:val="en-GB"/>
        </w:rPr>
      </w:pPr>
      <w:r w:rsidRPr="00485454">
        <w:rPr>
          <w:rFonts w:cs="Arial"/>
          <w:szCs w:val="22"/>
          <w:lang w:val="en-GB"/>
        </w:rPr>
        <w:t xml:space="preserve">The </w:t>
      </w:r>
      <w:r w:rsidR="00857192" w:rsidRPr="00485454">
        <w:rPr>
          <w:rFonts w:cs="Arial"/>
          <w:szCs w:val="22"/>
          <w:lang w:val="en-GB"/>
        </w:rPr>
        <w:t>g</w:t>
      </w:r>
      <w:r w:rsidRPr="00485454">
        <w:rPr>
          <w:rFonts w:cs="Arial"/>
          <w:szCs w:val="22"/>
          <w:lang w:val="en-GB"/>
        </w:rPr>
        <w:t xml:space="preserve">overnment </w:t>
      </w:r>
      <w:r w:rsidR="00BE1A04" w:rsidRPr="00485454">
        <w:rPr>
          <w:rFonts w:cs="Arial"/>
          <w:szCs w:val="22"/>
          <w:lang w:val="en-GB"/>
        </w:rPr>
        <w:t xml:space="preserve">and </w:t>
      </w:r>
      <w:r w:rsidRPr="00485454">
        <w:rPr>
          <w:rFonts w:cs="Arial"/>
          <w:szCs w:val="22"/>
          <w:lang w:val="en-GB"/>
        </w:rPr>
        <w:t>MTA</w:t>
      </w:r>
      <w:r w:rsidR="00215946" w:rsidRPr="00485454">
        <w:rPr>
          <w:rFonts w:cs="Arial"/>
          <w:szCs w:val="22"/>
          <w:lang w:val="en-GB"/>
        </w:rPr>
        <w:t>I</w:t>
      </w:r>
      <w:r w:rsidR="00BE1A04" w:rsidRPr="00485454">
        <w:rPr>
          <w:rFonts w:cs="Arial"/>
          <w:szCs w:val="22"/>
          <w:lang w:val="en-GB"/>
        </w:rPr>
        <w:t xml:space="preserve"> </w:t>
      </w:r>
      <w:r w:rsidR="00215946" w:rsidRPr="00485454">
        <w:rPr>
          <w:rFonts w:cs="Arial"/>
          <w:szCs w:val="22"/>
          <w:lang w:val="en-GB"/>
        </w:rPr>
        <w:t xml:space="preserve">as </w:t>
      </w:r>
      <w:r w:rsidR="004F2ECD" w:rsidRPr="00485454">
        <w:rPr>
          <w:rFonts w:cs="Arial"/>
          <w:szCs w:val="22"/>
          <w:lang w:val="en-GB"/>
        </w:rPr>
        <w:t>it</w:t>
      </w:r>
      <w:r w:rsidR="00BE1A04" w:rsidRPr="00485454">
        <w:rPr>
          <w:rFonts w:cs="Arial"/>
          <w:szCs w:val="22"/>
          <w:lang w:val="en-GB"/>
        </w:rPr>
        <w:t>s</w:t>
      </w:r>
      <w:r w:rsidR="004F2ECD" w:rsidRPr="00485454">
        <w:rPr>
          <w:rFonts w:cs="Arial"/>
          <w:szCs w:val="22"/>
          <w:lang w:val="en-GB"/>
        </w:rPr>
        <w:t xml:space="preserve"> </w:t>
      </w:r>
      <w:r w:rsidR="00215946" w:rsidRPr="00485454">
        <w:rPr>
          <w:rFonts w:cs="Arial"/>
          <w:szCs w:val="22"/>
          <w:lang w:val="en-GB"/>
        </w:rPr>
        <w:t xml:space="preserve">authorised </w:t>
      </w:r>
      <w:r w:rsidR="004F2ECD" w:rsidRPr="00485454">
        <w:rPr>
          <w:rFonts w:cs="Arial"/>
          <w:szCs w:val="22"/>
          <w:lang w:val="en-GB"/>
        </w:rPr>
        <w:t>leading institution</w:t>
      </w:r>
      <w:r w:rsidRPr="00485454">
        <w:rPr>
          <w:rFonts w:cs="Arial"/>
          <w:szCs w:val="22"/>
          <w:lang w:val="en-GB"/>
        </w:rPr>
        <w:t xml:space="preserve"> </w:t>
      </w:r>
      <w:r w:rsidR="002C2211" w:rsidRPr="00485454">
        <w:rPr>
          <w:rFonts w:cs="Arial"/>
          <w:szCs w:val="22"/>
          <w:lang w:val="en-GB"/>
        </w:rPr>
        <w:t>are</w:t>
      </w:r>
      <w:r w:rsidR="00215946" w:rsidRPr="00485454">
        <w:rPr>
          <w:rFonts w:cs="Arial"/>
          <w:szCs w:val="22"/>
          <w:lang w:val="en-GB"/>
        </w:rPr>
        <w:t xml:space="preserve"> committed to </w:t>
      </w:r>
      <w:r w:rsidRPr="00485454">
        <w:rPr>
          <w:rFonts w:cs="Arial"/>
          <w:szCs w:val="22"/>
          <w:lang w:val="en-GB"/>
        </w:rPr>
        <w:t xml:space="preserve">supporting </w:t>
      </w:r>
      <w:r w:rsidR="00BE1A04" w:rsidRPr="00485454">
        <w:rPr>
          <w:rFonts w:cs="Arial"/>
          <w:szCs w:val="22"/>
          <w:lang w:val="en-GB"/>
        </w:rPr>
        <w:t>LED</w:t>
      </w:r>
      <w:r w:rsidRPr="00485454">
        <w:rPr>
          <w:rFonts w:cs="Arial"/>
          <w:szCs w:val="22"/>
          <w:lang w:val="en-GB"/>
        </w:rPr>
        <w:t xml:space="preserve"> as </w:t>
      </w:r>
      <w:r w:rsidR="00215946" w:rsidRPr="00485454">
        <w:rPr>
          <w:rFonts w:cs="Arial"/>
          <w:szCs w:val="22"/>
          <w:lang w:val="en-GB"/>
        </w:rPr>
        <w:t xml:space="preserve">part of its national strategy and </w:t>
      </w:r>
      <w:r w:rsidRPr="00485454">
        <w:rPr>
          <w:rFonts w:cs="Arial"/>
          <w:szCs w:val="22"/>
          <w:lang w:val="en-GB"/>
        </w:rPr>
        <w:t>one of the pillars of the local self-government reform. LED officials</w:t>
      </w:r>
      <w:r w:rsidR="00BE1A04" w:rsidRPr="00485454">
        <w:rPr>
          <w:rFonts w:cs="Arial"/>
          <w:szCs w:val="22"/>
          <w:lang w:val="en-GB"/>
        </w:rPr>
        <w:t xml:space="preserve"> </w:t>
      </w:r>
      <w:r w:rsidR="00EE1B43" w:rsidRPr="00485454">
        <w:rPr>
          <w:rFonts w:cs="Arial"/>
          <w:szCs w:val="22"/>
          <w:lang w:val="en-GB"/>
        </w:rPr>
        <w:t xml:space="preserve">were </w:t>
      </w:r>
      <w:r w:rsidRPr="00485454">
        <w:rPr>
          <w:rFonts w:cs="Arial"/>
          <w:szCs w:val="22"/>
          <w:lang w:val="en-GB"/>
        </w:rPr>
        <w:t xml:space="preserve">appointed in consolidated </w:t>
      </w:r>
      <w:r w:rsidR="00EE1B43" w:rsidRPr="00485454">
        <w:rPr>
          <w:rFonts w:cs="Arial"/>
          <w:szCs w:val="22"/>
          <w:lang w:val="en-GB"/>
        </w:rPr>
        <w:t xml:space="preserve">and large </w:t>
      </w:r>
      <w:r w:rsidRPr="00485454">
        <w:rPr>
          <w:rFonts w:cs="Arial"/>
          <w:szCs w:val="22"/>
          <w:lang w:val="en-GB"/>
        </w:rPr>
        <w:t>LSGs in the end 2017 and beginning of 2018, some 120 in total.</w:t>
      </w:r>
    </w:p>
    <w:p w14:paraId="72F583F5" w14:textId="1545F1F2" w:rsidR="000D5091" w:rsidRPr="00485454" w:rsidRDefault="000D5091" w:rsidP="76F87887">
      <w:pPr>
        <w:spacing w:before="120" w:after="120" w:line="280" w:lineRule="atLeast"/>
        <w:jc w:val="both"/>
        <w:rPr>
          <w:rFonts w:cs="Arial"/>
          <w:lang w:val="en-GB"/>
        </w:rPr>
      </w:pPr>
      <w:r w:rsidRPr="00485454">
        <w:rPr>
          <w:rFonts w:cs="Arial"/>
          <w:lang w:val="en-GB"/>
        </w:rPr>
        <w:t xml:space="preserve">In the framework of </w:t>
      </w:r>
      <w:r w:rsidR="002C2211" w:rsidRPr="00485454">
        <w:rPr>
          <w:rFonts w:cs="Arial"/>
          <w:lang w:val="en-GB"/>
        </w:rPr>
        <w:t>the Programme</w:t>
      </w:r>
      <w:r w:rsidRPr="00485454">
        <w:rPr>
          <w:rFonts w:cs="Arial"/>
          <w:lang w:val="en-GB"/>
        </w:rPr>
        <w:t xml:space="preserve">, </w:t>
      </w:r>
      <w:r w:rsidR="00265A95" w:rsidRPr="00485454">
        <w:rPr>
          <w:rFonts w:cs="Arial"/>
          <w:lang w:val="en-GB"/>
        </w:rPr>
        <w:t xml:space="preserve">GIZ </w:t>
      </w:r>
      <w:r w:rsidRPr="00485454">
        <w:rPr>
          <w:rFonts w:cs="Arial"/>
          <w:lang w:val="en-GB"/>
        </w:rPr>
        <w:t>has been supporting MTAI through:</w:t>
      </w:r>
    </w:p>
    <w:p w14:paraId="037CA41C" w14:textId="586307D6" w:rsidR="000D5091" w:rsidRPr="00485454" w:rsidRDefault="000D5091"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Design of a</w:t>
      </w:r>
      <w:r w:rsidR="002C597A" w:rsidRPr="00485454">
        <w:rPr>
          <w:rFonts w:ascii="Arial" w:hAnsi="Arial" w:cs="Arial"/>
          <w:lang w:val="en-GB"/>
        </w:rPr>
        <w:t>n</w:t>
      </w:r>
      <w:r w:rsidRPr="00485454">
        <w:rPr>
          <w:rFonts w:ascii="Arial" w:hAnsi="Arial" w:cs="Arial"/>
          <w:lang w:val="en-GB"/>
        </w:rPr>
        <w:t xml:space="preserve"> LED Manual for local authorities</w:t>
      </w:r>
      <w:r w:rsidR="00485454" w:rsidRPr="00485454">
        <w:rPr>
          <w:rFonts w:ascii="Arial" w:hAnsi="Arial" w:cs="Arial"/>
          <w:lang w:val="en-GB"/>
        </w:rPr>
        <w:t>;</w:t>
      </w:r>
    </w:p>
    <w:p w14:paraId="7FC620BC" w14:textId="6A308FC1" w:rsidR="000D5091" w:rsidRPr="00485454" w:rsidRDefault="000D5091"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Capitalisation on existing LED experiences in the country through conferences and workshops</w:t>
      </w:r>
      <w:r w:rsidR="00485454" w:rsidRPr="00485454">
        <w:rPr>
          <w:rFonts w:ascii="Arial" w:hAnsi="Arial" w:cs="Arial"/>
          <w:lang w:val="en-GB"/>
        </w:rPr>
        <w:t>;</w:t>
      </w:r>
    </w:p>
    <w:p w14:paraId="6B3D66B1" w14:textId="52BC38A4" w:rsidR="000D5091" w:rsidRPr="00485454" w:rsidRDefault="000D5091"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 xml:space="preserve">Engagement in LED activities implemented by other government and non-government stakeholders (ATDF, </w:t>
      </w:r>
      <w:r w:rsidR="007E7823" w:rsidRPr="00485454">
        <w:rPr>
          <w:rFonts w:ascii="Arial" w:hAnsi="Arial" w:cs="Arial"/>
          <w:lang w:val="en-GB"/>
        </w:rPr>
        <w:t>WB</w:t>
      </w:r>
      <w:r w:rsidRPr="00485454">
        <w:rPr>
          <w:rFonts w:ascii="Arial" w:hAnsi="Arial" w:cs="Arial"/>
          <w:lang w:val="en-GB"/>
        </w:rPr>
        <w:t>, EU, SDC, etc.)</w:t>
      </w:r>
      <w:r w:rsidR="00485454" w:rsidRPr="00485454">
        <w:rPr>
          <w:rFonts w:ascii="Arial" w:hAnsi="Arial" w:cs="Arial"/>
          <w:lang w:val="en-GB"/>
        </w:rPr>
        <w:t xml:space="preserve">; </w:t>
      </w:r>
    </w:p>
    <w:p w14:paraId="602EEBF1" w14:textId="089A3F62" w:rsidR="000D5091" w:rsidRPr="00485454" w:rsidRDefault="000D5091"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Establishment of a Core Group of LED officers and their continuous capacity enhancement</w:t>
      </w:r>
      <w:r w:rsidR="00485454">
        <w:rPr>
          <w:rFonts w:ascii="Arial" w:hAnsi="Arial" w:cs="Arial"/>
          <w:lang w:val="en-GB"/>
        </w:rPr>
        <w:t>;</w:t>
      </w:r>
    </w:p>
    <w:p w14:paraId="5B1B9ECE" w14:textId="292D526F" w:rsidR="000D5091" w:rsidRPr="00485454" w:rsidRDefault="000D5091"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Bringing in international best practices and experiences in LED for the MTAI and Core Group</w:t>
      </w:r>
      <w:r w:rsidR="00485454" w:rsidRPr="00485454">
        <w:rPr>
          <w:rFonts w:ascii="Arial" w:hAnsi="Arial" w:cs="Arial"/>
          <w:lang w:val="en-GB"/>
        </w:rPr>
        <w:t>;</w:t>
      </w:r>
    </w:p>
    <w:p w14:paraId="172CE6F6" w14:textId="4AC03348" w:rsidR="00FD4BA1" w:rsidRPr="00485454" w:rsidRDefault="00767D4A"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I</w:t>
      </w:r>
      <w:r w:rsidR="00FD4BA1" w:rsidRPr="00485454">
        <w:rPr>
          <w:rFonts w:ascii="Arial" w:hAnsi="Arial" w:cs="Arial"/>
          <w:lang w:val="en-GB"/>
        </w:rPr>
        <w:t xml:space="preserve">nstitutionalisation of this LED </w:t>
      </w:r>
      <w:r w:rsidR="002C2211" w:rsidRPr="00485454">
        <w:rPr>
          <w:rFonts w:ascii="Arial" w:hAnsi="Arial" w:cs="Arial"/>
          <w:lang w:val="en-GB"/>
        </w:rPr>
        <w:t xml:space="preserve">Core Group </w:t>
      </w:r>
      <w:r w:rsidR="00FD4BA1" w:rsidRPr="00485454">
        <w:rPr>
          <w:rFonts w:ascii="Arial" w:hAnsi="Arial" w:cs="Arial"/>
          <w:lang w:val="en-GB"/>
        </w:rPr>
        <w:t>as key policy advisory group to MTAI and channel for LSG to raise issues on needs with regards to LED</w:t>
      </w:r>
      <w:r w:rsidR="00FD4BA1" w:rsidRPr="00485454">
        <w:rPr>
          <w:rStyle w:val="Funotenzeichen"/>
          <w:rFonts w:ascii="Arial" w:hAnsi="Arial" w:cs="Arial"/>
          <w:lang w:val="en-GB"/>
        </w:rPr>
        <w:footnoteReference w:id="3"/>
      </w:r>
      <w:r w:rsidR="00485454">
        <w:rPr>
          <w:rFonts w:ascii="Arial" w:hAnsi="Arial" w:cs="Arial"/>
          <w:lang w:val="en-GB"/>
        </w:rPr>
        <w:t>;</w:t>
      </w:r>
    </w:p>
    <w:p w14:paraId="7C852780" w14:textId="4A7C2B85" w:rsidR="000D5091" w:rsidRPr="00485454" w:rsidRDefault="000D5091"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Design of LED visions</w:t>
      </w:r>
      <w:r w:rsidR="0040572D" w:rsidRPr="00485454">
        <w:rPr>
          <w:rFonts w:ascii="Arial" w:hAnsi="Arial" w:cs="Arial"/>
          <w:lang w:val="en-GB"/>
        </w:rPr>
        <w:t xml:space="preserve"> and establishment of mechanisms for participatory diagnosis of </w:t>
      </w:r>
      <w:r w:rsidR="00EE42D1" w:rsidRPr="00485454">
        <w:rPr>
          <w:rFonts w:ascii="Arial" w:hAnsi="Arial" w:cs="Arial"/>
          <w:lang w:val="en-GB"/>
        </w:rPr>
        <w:t xml:space="preserve">the </w:t>
      </w:r>
      <w:r w:rsidR="0040572D" w:rsidRPr="00485454">
        <w:rPr>
          <w:rFonts w:ascii="Arial" w:hAnsi="Arial" w:cs="Arial"/>
          <w:lang w:val="en-GB"/>
        </w:rPr>
        <w:t>current situation in the localities and drawing programmatic solutions by prioritisation and fund-raising</w:t>
      </w:r>
      <w:r w:rsidR="00485454">
        <w:rPr>
          <w:rFonts w:ascii="Arial" w:hAnsi="Arial" w:cs="Arial"/>
          <w:lang w:val="en-GB"/>
        </w:rPr>
        <w:t>;</w:t>
      </w:r>
    </w:p>
    <w:p w14:paraId="133724DF" w14:textId="47747C00" w:rsidR="0040572D" w:rsidRPr="00485454" w:rsidRDefault="0040572D"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 xml:space="preserve">Introduction of </w:t>
      </w:r>
      <w:r w:rsidR="00EF3A79" w:rsidRPr="00485454">
        <w:rPr>
          <w:rFonts w:ascii="Arial" w:hAnsi="Arial" w:cs="Arial"/>
          <w:lang w:val="en-GB"/>
        </w:rPr>
        <w:t xml:space="preserve">tailored </w:t>
      </w:r>
      <w:r w:rsidRPr="00485454">
        <w:rPr>
          <w:rFonts w:ascii="Arial" w:hAnsi="Arial" w:cs="Arial"/>
          <w:lang w:val="en-GB"/>
        </w:rPr>
        <w:t>innovative approaches to LED management and administration at local level (Debate of Future, etc.)</w:t>
      </w:r>
      <w:r w:rsidR="00485454">
        <w:rPr>
          <w:rFonts w:ascii="Arial" w:hAnsi="Arial" w:cs="Arial"/>
          <w:lang w:val="en-GB"/>
        </w:rPr>
        <w:t>;</w:t>
      </w:r>
    </w:p>
    <w:p w14:paraId="22AF74F7" w14:textId="103E7754" w:rsidR="7F876FC2" w:rsidRPr="00485454" w:rsidRDefault="7F876FC2" w:rsidP="6D13DA79">
      <w:pPr>
        <w:pStyle w:val="Listenabsatz"/>
        <w:numPr>
          <w:ilvl w:val="0"/>
          <w:numId w:val="43"/>
        </w:numPr>
        <w:spacing w:before="120" w:after="120" w:line="280" w:lineRule="atLeast"/>
        <w:jc w:val="both"/>
        <w:rPr>
          <w:lang w:val="en-GB"/>
        </w:rPr>
      </w:pPr>
      <w:r w:rsidRPr="00485454">
        <w:rPr>
          <w:rFonts w:ascii="Arial" w:hAnsi="Arial" w:cs="Arial"/>
          <w:lang w:val="en-GB"/>
        </w:rPr>
        <w:t xml:space="preserve">Launch of process of development and introduction of </w:t>
      </w:r>
      <w:r w:rsidR="3610BCD9" w:rsidRPr="00485454">
        <w:rPr>
          <w:rFonts w:ascii="Arial" w:hAnsi="Arial" w:cs="Arial"/>
          <w:lang w:val="en-GB"/>
        </w:rPr>
        <w:t xml:space="preserve">tailored </w:t>
      </w:r>
      <w:r w:rsidRPr="00485454">
        <w:rPr>
          <w:rFonts w:ascii="Arial" w:hAnsi="Arial" w:cs="Arial"/>
          <w:lang w:val="en-GB"/>
        </w:rPr>
        <w:t>criteria of a Business-friendly commun</w:t>
      </w:r>
      <w:r w:rsidR="37C5BE90" w:rsidRPr="00485454">
        <w:rPr>
          <w:rFonts w:ascii="Arial" w:hAnsi="Arial" w:cs="Arial"/>
          <w:lang w:val="en-GB"/>
        </w:rPr>
        <w:t xml:space="preserve">ity </w:t>
      </w:r>
      <w:r w:rsidRPr="00485454">
        <w:rPr>
          <w:rFonts w:ascii="Arial" w:hAnsi="Arial" w:cs="Arial"/>
          <w:lang w:val="en-GB"/>
        </w:rPr>
        <w:t xml:space="preserve">at </w:t>
      </w:r>
      <w:r w:rsidR="521C03F9" w:rsidRPr="00485454">
        <w:rPr>
          <w:rFonts w:ascii="Arial" w:hAnsi="Arial" w:cs="Arial"/>
          <w:lang w:val="en-GB"/>
        </w:rPr>
        <w:t>local level (in 5 municipalities)</w:t>
      </w:r>
      <w:r w:rsidR="00485454">
        <w:rPr>
          <w:rFonts w:ascii="Arial" w:hAnsi="Arial" w:cs="Arial"/>
          <w:lang w:val="en-GB"/>
        </w:rPr>
        <w:t>;</w:t>
      </w:r>
    </w:p>
    <w:p w14:paraId="39062ADF" w14:textId="5AC5E577" w:rsidR="0012049C" w:rsidRPr="00485454" w:rsidRDefault="0012049C"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lastRenderedPageBreak/>
        <w:t xml:space="preserve">Provision of knowledge and </w:t>
      </w:r>
      <w:r w:rsidR="00E8299A" w:rsidRPr="00485454">
        <w:rPr>
          <w:rFonts w:ascii="Arial" w:hAnsi="Arial" w:cs="Arial"/>
          <w:lang w:val="en-GB"/>
        </w:rPr>
        <w:t xml:space="preserve">best </w:t>
      </w:r>
      <w:r w:rsidRPr="00485454">
        <w:rPr>
          <w:rFonts w:ascii="Arial" w:hAnsi="Arial" w:cs="Arial"/>
          <w:lang w:val="en-GB"/>
        </w:rPr>
        <w:t xml:space="preserve">practices in </w:t>
      </w:r>
      <w:r w:rsidR="00767D4A" w:rsidRPr="00485454">
        <w:rPr>
          <w:rFonts w:ascii="Arial" w:hAnsi="Arial" w:cs="Arial"/>
          <w:lang w:val="en-GB"/>
        </w:rPr>
        <w:t>creating a</w:t>
      </w:r>
      <w:r w:rsidRPr="00485454">
        <w:rPr>
          <w:rFonts w:ascii="Arial" w:hAnsi="Arial" w:cs="Arial"/>
          <w:lang w:val="en-GB"/>
        </w:rPr>
        <w:t xml:space="preserve"> favourable LED environment to encourage private entrepreneurship, business activity and private investments</w:t>
      </w:r>
      <w:r w:rsidR="00485454">
        <w:rPr>
          <w:rFonts w:ascii="Arial" w:hAnsi="Arial" w:cs="Arial"/>
          <w:lang w:val="en-GB"/>
        </w:rPr>
        <w:t>;</w:t>
      </w:r>
    </w:p>
    <w:p w14:paraId="732DC05C" w14:textId="7500DB6C" w:rsidR="0012049C" w:rsidRPr="00485454" w:rsidRDefault="0012049C"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 xml:space="preserve">Provision of </w:t>
      </w:r>
      <w:r w:rsidR="00FD4BA1" w:rsidRPr="00485454">
        <w:rPr>
          <w:rFonts w:ascii="Arial" w:hAnsi="Arial" w:cs="Arial"/>
          <w:lang w:val="en-GB"/>
        </w:rPr>
        <w:t>institutional technical support to streamlining the functional role of local administrations in supporting business networks, cooperation by demarcation of the roles of public bodies and business community</w:t>
      </w:r>
      <w:r w:rsidR="00485454">
        <w:rPr>
          <w:rFonts w:ascii="Arial" w:hAnsi="Arial" w:cs="Arial"/>
          <w:lang w:val="en-GB"/>
        </w:rPr>
        <w:t>;</w:t>
      </w:r>
    </w:p>
    <w:p w14:paraId="1C6D3308" w14:textId="3CEEAC3B" w:rsidR="000D5091" w:rsidRPr="00485454" w:rsidRDefault="000D5091"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Provision of inputs to government strategies (Concept of Economic Growth Poles, subventions, review of powers and functions of LSGs in LED, etc.)</w:t>
      </w:r>
      <w:r w:rsidR="00485454">
        <w:rPr>
          <w:rFonts w:ascii="Arial" w:hAnsi="Arial" w:cs="Arial"/>
          <w:lang w:val="en-GB"/>
        </w:rPr>
        <w:t>;</w:t>
      </w:r>
    </w:p>
    <w:p w14:paraId="6E6AA538" w14:textId="2B521FCA" w:rsidR="0040572D" w:rsidRPr="00485454" w:rsidRDefault="0040572D"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 xml:space="preserve">Provision of concept papers, methodologies, techniques and toolkits for local authorities to administer </w:t>
      </w:r>
      <w:r w:rsidR="000A1AB6" w:rsidRPr="00485454">
        <w:rPr>
          <w:rFonts w:ascii="Arial" w:hAnsi="Arial" w:cs="Arial"/>
          <w:lang w:val="en-GB"/>
        </w:rPr>
        <w:t>and</w:t>
      </w:r>
      <w:r w:rsidRPr="00485454">
        <w:rPr>
          <w:rFonts w:ascii="Arial" w:hAnsi="Arial" w:cs="Arial"/>
          <w:lang w:val="en-GB"/>
        </w:rPr>
        <w:t xml:space="preserve"> manage LED</w:t>
      </w:r>
      <w:r w:rsidR="00EF3A79" w:rsidRPr="00485454">
        <w:rPr>
          <w:rFonts w:ascii="Arial" w:hAnsi="Arial" w:cs="Arial"/>
          <w:lang w:val="en-GB"/>
        </w:rPr>
        <w:t xml:space="preserve"> (COMPASS, Potter’s Diamond, PACA, etc.)</w:t>
      </w:r>
      <w:r w:rsidRPr="00485454">
        <w:rPr>
          <w:rFonts w:ascii="Arial" w:hAnsi="Arial" w:cs="Arial"/>
          <w:lang w:val="en-GB"/>
        </w:rPr>
        <w:t>, inter alia, in the area of establishing business-friendly criteria</w:t>
      </w:r>
      <w:r w:rsidR="00485454">
        <w:rPr>
          <w:rFonts w:ascii="Arial" w:hAnsi="Arial" w:cs="Arial"/>
          <w:lang w:val="en-GB"/>
        </w:rPr>
        <w:t>;</w:t>
      </w:r>
    </w:p>
    <w:p w14:paraId="33548166" w14:textId="66742F3E" w:rsidR="002B27A4" w:rsidRPr="00485454" w:rsidRDefault="0040572D" w:rsidP="002B27A4">
      <w:pPr>
        <w:pStyle w:val="Listenabsatz"/>
        <w:numPr>
          <w:ilvl w:val="0"/>
          <w:numId w:val="43"/>
        </w:numPr>
        <w:spacing w:before="120" w:after="120" w:line="280" w:lineRule="atLeast"/>
        <w:jc w:val="both"/>
        <w:rPr>
          <w:rFonts w:ascii="Arial" w:hAnsi="Arial" w:cs="Arial"/>
          <w:lang w:val="en-GB"/>
        </w:rPr>
      </w:pPr>
      <w:r w:rsidRPr="00485454">
        <w:rPr>
          <w:rFonts w:ascii="Arial" w:hAnsi="Arial" w:cs="Arial"/>
          <w:lang w:val="en-GB"/>
        </w:rPr>
        <w:t>Provision of series of trainings to LSGs in analysis of comparative advantages, project proposal writing, LED visioning and planning</w:t>
      </w:r>
      <w:r w:rsidR="00105028" w:rsidRPr="00485454">
        <w:rPr>
          <w:rFonts w:ascii="Arial" w:hAnsi="Arial" w:cs="Arial"/>
          <w:lang w:val="en-GB"/>
        </w:rPr>
        <w:t>.</w:t>
      </w:r>
    </w:p>
    <w:p w14:paraId="73B37A50" w14:textId="712E3DD7" w:rsidR="003E5C6E" w:rsidRPr="00485454" w:rsidRDefault="001D6842" w:rsidP="00767D4A">
      <w:pPr>
        <w:spacing w:before="120" w:after="240" w:line="280" w:lineRule="atLeast"/>
        <w:jc w:val="both"/>
        <w:rPr>
          <w:rFonts w:cs="Arial"/>
          <w:i/>
          <w:iCs/>
          <w:lang w:val="en-GB"/>
        </w:rPr>
      </w:pPr>
      <w:r w:rsidRPr="00485454">
        <w:rPr>
          <w:rFonts w:cs="Arial"/>
          <w:lang w:val="en-GB"/>
        </w:rPr>
        <w:t xml:space="preserve">LED visioning now practiced at local level necessitated </w:t>
      </w:r>
      <w:r w:rsidR="005472BD" w:rsidRPr="00485454">
        <w:rPr>
          <w:rFonts w:cs="Arial"/>
          <w:lang w:val="en-GB"/>
        </w:rPr>
        <w:t xml:space="preserve">the </w:t>
      </w:r>
      <w:r w:rsidRPr="00485454">
        <w:rPr>
          <w:rFonts w:cs="Arial"/>
          <w:lang w:val="en-GB"/>
        </w:rPr>
        <w:t>design of proper LED planning, which was welcome</w:t>
      </w:r>
      <w:r w:rsidR="00F3274B" w:rsidRPr="00485454">
        <w:rPr>
          <w:rFonts w:cs="Arial"/>
          <w:lang w:val="en-GB"/>
        </w:rPr>
        <w:t>d</w:t>
      </w:r>
      <w:r w:rsidRPr="00485454">
        <w:rPr>
          <w:rFonts w:cs="Arial"/>
          <w:lang w:val="en-GB"/>
        </w:rPr>
        <w:t xml:space="preserve"> by the 18 consolidated LSGs in 2020</w:t>
      </w:r>
      <w:r w:rsidR="00FD4BA1" w:rsidRPr="00485454">
        <w:rPr>
          <w:rStyle w:val="Funotenzeichen"/>
          <w:rFonts w:cs="Arial"/>
          <w:lang w:val="en-GB"/>
        </w:rPr>
        <w:footnoteReference w:id="4"/>
      </w:r>
      <w:r w:rsidRPr="00485454">
        <w:rPr>
          <w:rFonts w:cs="Arial"/>
          <w:lang w:val="en-GB"/>
        </w:rPr>
        <w:t>.</w:t>
      </w:r>
      <w:r w:rsidR="002C2211" w:rsidRPr="00485454">
        <w:rPr>
          <w:rFonts w:cs="Arial"/>
          <w:lang w:val="en-GB"/>
        </w:rPr>
        <w:t xml:space="preserve"> The Programme</w:t>
      </w:r>
      <w:r w:rsidRPr="00485454">
        <w:rPr>
          <w:rFonts w:cs="Arial"/>
          <w:lang w:val="en-GB"/>
        </w:rPr>
        <w:t xml:space="preserve"> responds herewith to this need voiced by national and local authorities </w:t>
      </w:r>
      <w:r w:rsidR="005472BD" w:rsidRPr="00485454">
        <w:rPr>
          <w:rFonts w:cs="Arial"/>
          <w:lang w:val="en-GB"/>
        </w:rPr>
        <w:t xml:space="preserve">and </w:t>
      </w:r>
      <w:r w:rsidRPr="00485454">
        <w:rPr>
          <w:rFonts w:cs="Arial"/>
          <w:lang w:val="en-GB"/>
        </w:rPr>
        <w:t xml:space="preserve">hence </w:t>
      </w:r>
      <w:r w:rsidR="005472BD" w:rsidRPr="00485454">
        <w:rPr>
          <w:rFonts w:cs="Arial"/>
          <w:lang w:val="en-GB"/>
        </w:rPr>
        <w:t xml:space="preserve">plans on continuing </w:t>
      </w:r>
      <w:r w:rsidRPr="00485454">
        <w:rPr>
          <w:rFonts w:cs="Arial"/>
          <w:lang w:val="en-GB"/>
        </w:rPr>
        <w:t>its technical support in 2021 through this assignment.</w:t>
      </w:r>
    </w:p>
    <w:p w14:paraId="38C08DE2" w14:textId="43FE1C8E" w:rsidR="00415E1F" w:rsidRPr="00485454" w:rsidRDefault="00EF170A" w:rsidP="00767D4A">
      <w:pPr>
        <w:pStyle w:val="Listenabsatz"/>
        <w:numPr>
          <w:ilvl w:val="0"/>
          <w:numId w:val="25"/>
        </w:numPr>
        <w:spacing w:before="240" w:after="120"/>
        <w:contextualSpacing w:val="0"/>
        <w:jc w:val="both"/>
        <w:rPr>
          <w:rFonts w:eastAsia="Arial" w:cs="Arial"/>
          <w:b/>
          <w:bCs/>
          <w:lang w:val="en-GB"/>
        </w:rPr>
      </w:pPr>
      <w:r w:rsidRPr="00485454">
        <w:rPr>
          <w:rFonts w:ascii="Arial" w:hAnsi="Arial" w:cs="Arial"/>
          <w:b/>
          <w:bCs/>
          <w:lang w:val="en-GB"/>
        </w:rPr>
        <w:t>Objective</w:t>
      </w:r>
      <w:r w:rsidR="002C2211" w:rsidRPr="00485454">
        <w:rPr>
          <w:rFonts w:ascii="Arial" w:hAnsi="Arial" w:cs="Arial"/>
          <w:b/>
          <w:bCs/>
          <w:lang w:val="en-GB"/>
        </w:rPr>
        <w:t xml:space="preserve"> of the assignment</w:t>
      </w:r>
      <w:r w:rsidR="00415E1F" w:rsidRPr="00485454">
        <w:rPr>
          <w:rFonts w:ascii="Arial" w:hAnsi="Arial" w:cs="Arial"/>
          <w:b/>
          <w:bCs/>
          <w:lang w:val="en-GB"/>
        </w:rPr>
        <w:t>:</w:t>
      </w:r>
    </w:p>
    <w:p w14:paraId="103A1C0F" w14:textId="15651AB1" w:rsidR="005B0A45" w:rsidRPr="006731D7" w:rsidDel="00EF170A" w:rsidRDefault="00E476EB" w:rsidP="006731D7">
      <w:pPr>
        <w:spacing w:before="120" w:after="240" w:line="280" w:lineRule="atLeast"/>
        <w:jc w:val="both"/>
        <w:rPr>
          <w:rFonts w:cs="Arial"/>
          <w:lang w:val="en-GB"/>
        </w:rPr>
      </w:pPr>
      <w:r w:rsidRPr="05FC6599">
        <w:rPr>
          <w:rFonts w:cs="Arial"/>
          <w:lang w:val="en-GB"/>
        </w:rPr>
        <w:t xml:space="preserve">The objective of this assignment is </w:t>
      </w:r>
      <w:r w:rsidR="00FC6FEB" w:rsidRPr="05FC6599">
        <w:rPr>
          <w:rFonts w:cs="Arial"/>
          <w:lang w:val="en-GB"/>
        </w:rPr>
        <w:t xml:space="preserve">to create a more favourable environment for local economic development. To achieve this, a two-fold logic is applied: on the one hand, the assignment seeks to strengthen the capacities within municipalities in developing </w:t>
      </w:r>
      <w:r w:rsidR="00EF170A" w:rsidRPr="05FC6599">
        <w:rPr>
          <w:rFonts w:cs="Arial"/>
          <w:lang w:val="en-GB"/>
        </w:rPr>
        <w:t xml:space="preserve">their </w:t>
      </w:r>
      <w:r w:rsidR="00FC6FEB" w:rsidRPr="05FC6599">
        <w:rPr>
          <w:rFonts w:cs="Arial"/>
          <w:lang w:val="en-GB"/>
        </w:rPr>
        <w:t xml:space="preserve">LED plans, as well as </w:t>
      </w:r>
      <w:r w:rsidR="00EF170A" w:rsidRPr="05FC6599">
        <w:rPr>
          <w:rFonts w:cs="Arial"/>
          <w:lang w:val="en-GB"/>
        </w:rPr>
        <w:t>to enhance the capacities</w:t>
      </w:r>
      <w:r w:rsidR="00FC6FEB" w:rsidRPr="05FC6599">
        <w:rPr>
          <w:rFonts w:cs="Arial"/>
          <w:lang w:val="en-GB"/>
        </w:rPr>
        <w:t xml:space="preserve"> of the </w:t>
      </w:r>
      <w:r w:rsidR="00EF170A" w:rsidRPr="05FC6599">
        <w:rPr>
          <w:rFonts w:cs="Arial"/>
          <w:lang w:val="en-GB"/>
        </w:rPr>
        <w:t>Core Group of LED officers</w:t>
      </w:r>
      <w:r w:rsidR="00FC6FEB" w:rsidRPr="05FC6599">
        <w:rPr>
          <w:rFonts w:cs="Arial"/>
          <w:lang w:val="en-GB"/>
        </w:rPr>
        <w:t xml:space="preserve">; on the other hand, the mechanism to design and approve subvention projects of LSGs </w:t>
      </w:r>
      <w:r w:rsidR="00EF170A" w:rsidRPr="05FC6599">
        <w:rPr>
          <w:rFonts w:cs="Arial"/>
          <w:lang w:val="en-GB"/>
        </w:rPr>
        <w:t>shall be reviewed, with a special emphasis on LED.</w:t>
      </w:r>
    </w:p>
    <w:p w14:paraId="7BD37B6E" w14:textId="798E57C8" w:rsidR="00ED75DA" w:rsidRPr="00485454" w:rsidRDefault="00ED75DA" w:rsidP="006731D7">
      <w:pPr>
        <w:pStyle w:val="Listenabsatz"/>
        <w:numPr>
          <w:ilvl w:val="0"/>
          <w:numId w:val="25"/>
        </w:numPr>
        <w:spacing w:before="120" w:after="120"/>
        <w:contextualSpacing w:val="0"/>
        <w:jc w:val="both"/>
        <w:rPr>
          <w:rFonts w:ascii="Arial" w:eastAsia="Arial" w:hAnsi="Arial" w:cs="Arial"/>
          <w:b/>
          <w:bCs/>
          <w:lang w:val="en-GB"/>
        </w:rPr>
      </w:pPr>
      <w:r w:rsidRPr="05FC6599">
        <w:rPr>
          <w:rFonts w:ascii="Arial" w:hAnsi="Arial" w:cs="Arial"/>
          <w:b/>
          <w:bCs/>
          <w:lang w:val="en-GB"/>
        </w:rPr>
        <w:t xml:space="preserve">Tasks </w:t>
      </w:r>
    </w:p>
    <w:p w14:paraId="7B331AFA" w14:textId="50866B25" w:rsidR="00ED75DA" w:rsidRPr="00485454" w:rsidRDefault="00ED75DA" w:rsidP="00E43662">
      <w:pPr>
        <w:spacing w:line="276" w:lineRule="auto"/>
        <w:jc w:val="both"/>
        <w:rPr>
          <w:rFonts w:cs="Arial"/>
          <w:szCs w:val="22"/>
          <w:lang w:val="en-GB"/>
        </w:rPr>
      </w:pPr>
      <w:r w:rsidRPr="00485454">
        <w:rPr>
          <w:rFonts w:cs="Arial"/>
          <w:szCs w:val="22"/>
          <w:lang w:val="en-GB"/>
        </w:rPr>
        <w:t xml:space="preserve">The </w:t>
      </w:r>
      <w:r w:rsidR="00EF170A" w:rsidRPr="00485454">
        <w:rPr>
          <w:rFonts w:cs="Arial"/>
          <w:szCs w:val="22"/>
          <w:lang w:val="en-GB"/>
        </w:rPr>
        <w:t>t</w:t>
      </w:r>
      <w:r w:rsidRPr="00485454">
        <w:rPr>
          <w:rFonts w:cs="Arial"/>
          <w:szCs w:val="22"/>
          <w:lang w:val="en-GB"/>
        </w:rPr>
        <w:t xml:space="preserve">asks </w:t>
      </w:r>
      <w:r w:rsidR="00EF170A" w:rsidRPr="00485454">
        <w:rPr>
          <w:rFonts w:cs="Arial"/>
          <w:szCs w:val="22"/>
          <w:lang w:val="en-GB"/>
        </w:rPr>
        <w:t>within</w:t>
      </w:r>
      <w:r w:rsidRPr="00485454">
        <w:rPr>
          <w:rFonts w:cs="Arial"/>
          <w:szCs w:val="22"/>
          <w:lang w:val="en-GB"/>
        </w:rPr>
        <w:t xml:space="preserve"> assignment </w:t>
      </w:r>
      <w:r w:rsidR="00672F40" w:rsidRPr="00485454">
        <w:rPr>
          <w:rFonts w:cs="Arial"/>
          <w:szCs w:val="22"/>
          <w:lang w:val="en-GB"/>
        </w:rPr>
        <w:t>are the following</w:t>
      </w:r>
      <w:r w:rsidRPr="00485454">
        <w:rPr>
          <w:rFonts w:cs="Arial"/>
          <w:szCs w:val="22"/>
          <w:lang w:val="en-GB"/>
        </w:rPr>
        <w:t>:</w:t>
      </w:r>
    </w:p>
    <w:p w14:paraId="347FDD93" w14:textId="44754964" w:rsidR="00E016EC" w:rsidRPr="00485454" w:rsidRDefault="00E016EC" w:rsidP="00E43662">
      <w:pPr>
        <w:pStyle w:val="Listenabsatz"/>
        <w:numPr>
          <w:ilvl w:val="0"/>
          <w:numId w:val="38"/>
        </w:numPr>
        <w:spacing w:before="120" w:after="120"/>
        <w:ind w:left="357" w:hanging="357"/>
        <w:contextualSpacing w:val="0"/>
        <w:jc w:val="both"/>
        <w:rPr>
          <w:rFonts w:ascii="Arial" w:hAnsi="Arial" w:cs="Arial"/>
          <w:lang w:val="en-GB"/>
        </w:rPr>
      </w:pPr>
      <w:r w:rsidRPr="00485454">
        <w:rPr>
          <w:rFonts w:ascii="Arial" w:hAnsi="Arial" w:cs="Arial"/>
          <w:lang w:val="en-GB"/>
        </w:rPr>
        <w:t xml:space="preserve">Capacity Development for </w:t>
      </w:r>
      <w:r w:rsidR="000D5091" w:rsidRPr="00485454">
        <w:rPr>
          <w:rFonts w:ascii="Arial" w:hAnsi="Arial" w:cs="Arial"/>
          <w:lang w:val="en-GB"/>
        </w:rPr>
        <w:t>34</w:t>
      </w:r>
      <w:r w:rsidR="00B02BA4" w:rsidRPr="00485454">
        <w:rPr>
          <w:rFonts w:ascii="Arial" w:hAnsi="Arial" w:cs="Arial"/>
          <w:lang w:val="en-GB"/>
        </w:rPr>
        <w:t xml:space="preserve"> municipalities in participatory develop</w:t>
      </w:r>
      <w:r w:rsidR="000D5091" w:rsidRPr="00485454">
        <w:rPr>
          <w:rFonts w:ascii="Arial" w:hAnsi="Arial" w:cs="Arial"/>
          <w:lang w:val="en-GB"/>
        </w:rPr>
        <w:t>ment of</w:t>
      </w:r>
      <w:r w:rsidR="00B02BA4" w:rsidRPr="00485454">
        <w:rPr>
          <w:rFonts w:ascii="Arial" w:hAnsi="Arial" w:cs="Arial"/>
          <w:lang w:val="en-GB"/>
        </w:rPr>
        <w:t xml:space="preserve"> LED </w:t>
      </w:r>
      <w:r w:rsidR="000D5091" w:rsidRPr="00485454">
        <w:rPr>
          <w:rFonts w:ascii="Arial" w:hAnsi="Arial" w:cs="Arial"/>
          <w:lang w:val="en-GB"/>
        </w:rPr>
        <w:t>plans</w:t>
      </w:r>
      <w:r w:rsidR="00B02BA4" w:rsidRPr="00485454">
        <w:rPr>
          <w:rFonts w:ascii="Arial" w:hAnsi="Arial" w:cs="Arial"/>
          <w:lang w:val="en-GB"/>
        </w:rPr>
        <w:t>. This includes</w:t>
      </w:r>
      <w:r w:rsidR="002C2211" w:rsidRPr="00485454">
        <w:rPr>
          <w:rFonts w:ascii="Arial" w:hAnsi="Arial" w:cs="Arial"/>
          <w:lang w:val="en-GB"/>
        </w:rPr>
        <w:t>:</w:t>
      </w:r>
    </w:p>
    <w:p w14:paraId="2C293484" w14:textId="2498AA14" w:rsidR="00B02BA4" w:rsidRPr="00485454" w:rsidRDefault="00672F40" w:rsidP="00AA3261">
      <w:pPr>
        <w:pStyle w:val="Listenabsatz"/>
        <w:numPr>
          <w:ilvl w:val="0"/>
          <w:numId w:val="36"/>
        </w:numPr>
        <w:spacing w:after="0"/>
        <w:contextualSpacing w:val="0"/>
        <w:jc w:val="both"/>
        <w:rPr>
          <w:rFonts w:ascii="Arial" w:hAnsi="Arial" w:cs="Arial"/>
          <w:lang w:val="en-GB"/>
        </w:rPr>
      </w:pPr>
      <w:r w:rsidRPr="00485454">
        <w:rPr>
          <w:rFonts w:ascii="Arial" w:hAnsi="Arial" w:cs="Arial"/>
          <w:lang w:val="en-GB"/>
        </w:rPr>
        <w:t>I</w:t>
      </w:r>
      <w:r w:rsidR="00B02BA4" w:rsidRPr="00485454">
        <w:rPr>
          <w:rFonts w:ascii="Arial" w:hAnsi="Arial" w:cs="Arial"/>
          <w:lang w:val="en-GB"/>
        </w:rPr>
        <w:t>dentification</w:t>
      </w:r>
      <w:r w:rsidR="004A134F">
        <w:rPr>
          <w:rFonts w:ascii="Arial" w:hAnsi="Arial" w:cs="Arial"/>
          <w:lang w:val="en-GB"/>
        </w:rPr>
        <w:t>, mobilization</w:t>
      </w:r>
      <w:r w:rsidR="00B02BA4" w:rsidRPr="00485454">
        <w:rPr>
          <w:rFonts w:ascii="Arial" w:hAnsi="Arial" w:cs="Arial"/>
          <w:lang w:val="en-GB"/>
        </w:rPr>
        <w:t xml:space="preserve"> and </w:t>
      </w:r>
      <w:r w:rsidR="004A134F">
        <w:rPr>
          <w:rFonts w:ascii="Arial" w:hAnsi="Arial" w:cs="Arial"/>
          <w:lang w:val="en-GB"/>
        </w:rPr>
        <w:t xml:space="preserve">active </w:t>
      </w:r>
      <w:r w:rsidR="00B02BA4" w:rsidRPr="00485454">
        <w:rPr>
          <w:rFonts w:ascii="Arial" w:hAnsi="Arial" w:cs="Arial"/>
          <w:lang w:val="en-GB"/>
        </w:rPr>
        <w:t xml:space="preserve">involvement of relevant </w:t>
      </w:r>
      <w:r w:rsidR="004A134F">
        <w:rPr>
          <w:rFonts w:ascii="Arial" w:hAnsi="Arial" w:cs="Arial"/>
          <w:lang w:val="en-GB"/>
        </w:rPr>
        <w:t xml:space="preserve">groups of </w:t>
      </w:r>
      <w:r w:rsidR="00B02BA4" w:rsidRPr="00485454">
        <w:rPr>
          <w:rFonts w:ascii="Arial" w:hAnsi="Arial" w:cs="Arial"/>
          <w:lang w:val="en-GB"/>
        </w:rPr>
        <w:t>stakeholders</w:t>
      </w:r>
      <w:r w:rsidR="004A134F">
        <w:rPr>
          <w:rFonts w:ascii="Arial" w:hAnsi="Arial" w:cs="Arial"/>
          <w:lang w:val="en-GB"/>
        </w:rPr>
        <w:t xml:space="preserve"> (business community, women, youth, marginalized, disadvantaged and vulnerable groups etc.)</w:t>
      </w:r>
      <w:r w:rsidR="00B02BA4" w:rsidRPr="00485454">
        <w:rPr>
          <w:rFonts w:ascii="Arial" w:hAnsi="Arial" w:cs="Arial"/>
          <w:lang w:val="en-GB"/>
        </w:rPr>
        <w:t xml:space="preserve"> in the community in the development of </w:t>
      </w:r>
      <w:r w:rsidR="00467968">
        <w:rPr>
          <w:rFonts w:ascii="Arial" w:hAnsi="Arial" w:cs="Arial"/>
          <w:lang w:val="en-GB"/>
        </w:rPr>
        <w:t xml:space="preserve">socially </w:t>
      </w:r>
      <w:r w:rsidR="004A134F">
        <w:rPr>
          <w:rFonts w:ascii="Arial" w:hAnsi="Arial" w:cs="Arial"/>
          <w:lang w:val="en-GB"/>
        </w:rPr>
        <w:t>inclusive</w:t>
      </w:r>
      <w:r w:rsidR="00467968">
        <w:rPr>
          <w:rFonts w:ascii="Arial" w:hAnsi="Arial" w:cs="Arial"/>
          <w:lang w:val="en-GB"/>
        </w:rPr>
        <w:t xml:space="preserve"> and environmentally sustainable </w:t>
      </w:r>
      <w:r w:rsidR="004A134F" w:rsidRPr="00485454">
        <w:rPr>
          <w:rFonts w:ascii="Arial" w:hAnsi="Arial" w:cs="Arial"/>
          <w:lang w:val="en-GB"/>
        </w:rPr>
        <w:t xml:space="preserve"> </w:t>
      </w:r>
      <w:r w:rsidR="00B02BA4" w:rsidRPr="00485454">
        <w:rPr>
          <w:rFonts w:ascii="Arial" w:hAnsi="Arial" w:cs="Arial"/>
          <w:lang w:val="en-GB"/>
        </w:rPr>
        <w:t xml:space="preserve">LED </w:t>
      </w:r>
      <w:r w:rsidR="00780B0E" w:rsidRPr="00485454">
        <w:rPr>
          <w:rFonts w:ascii="Arial" w:hAnsi="Arial" w:cs="Arial"/>
          <w:lang w:val="en-GB"/>
        </w:rPr>
        <w:t>plans</w:t>
      </w:r>
      <w:r w:rsidR="00485454">
        <w:rPr>
          <w:rFonts w:ascii="Arial" w:hAnsi="Arial" w:cs="Arial"/>
          <w:lang w:val="en-GB"/>
        </w:rPr>
        <w:t>;</w:t>
      </w:r>
    </w:p>
    <w:p w14:paraId="6BFB7ADE" w14:textId="29306979" w:rsidR="00B02BA4" w:rsidRPr="00485454" w:rsidRDefault="00672F40" w:rsidP="00AA3261">
      <w:pPr>
        <w:pStyle w:val="Listenabsatz"/>
        <w:numPr>
          <w:ilvl w:val="0"/>
          <w:numId w:val="36"/>
        </w:numPr>
        <w:spacing w:after="0"/>
        <w:contextualSpacing w:val="0"/>
        <w:jc w:val="both"/>
        <w:rPr>
          <w:rFonts w:ascii="Arial" w:hAnsi="Arial" w:cs="Arial"/>
          <w:lang w:val="en-GB"/>
        </w:rPr>
      </w:pPr>
      <w:r w:rsidRPr="00485454">
        <w:rPr>
          <w:rFonts w:ascii="Arial" w:hAnsi="Arial" w:cs="Arial"/>
          <w:lang w:val="en-GB"/>
        </w:rPr>
        <w:t>P</w:t>
      </w:r>
      <w:r w:rsidR="00B87327" w:rsidRPr="00485454">
        <w:rPr>
          <w:rFonts w:ascii="Arial" w:hAnsi="Arial" w:cs="Arial"/>
          <w:lang w:val="en-GB"/>
        </w:rPr>
        <w:t>articipatory a</w:t>
      </w:r>
      <w:r w:rsidR="00B02BA4" w:rsidRPr="00485454">
        <w:rPr>
          <w:rFonts w:ascii="Arial" w:hAnsi="Arial" w:cs="Arial"/>
          <w:lang w:val="en-GB"/>
        </w:rPr>
        <w:t>nalysis of the socio-economic potential in the community</w:t>
      </w:r>
      <w:r w:rsidR="00780B0E" w:rsidRPr="00485454">
        <w:rPr>
          <w:rFonts w:ascii="Arial" w:hAnsi="Arial" w:cs="Arial"/>
          <w:lang w:val="en-GB"/>
        </w:rPr>
        <w:t xml:space="preserve"> by participatory review </w:t>
      </w:r>
      <w:r w:rsidR="0004103B" w:rsidRPr="00485454">
        <w:rPr>
          <w:rFonts w:ascii="Arial" w:hAnsi="Arial" w:cs="Arial"/>
          <w:lang w:val="en-GB"/>
        </w:rPr>
        <w:t>of comparative advantages and development potential</w:t>
      </w:r>
      <w:r w:rsidR="00485454">
        <w:rPr>
          <w:rFonts w:ascii="Arial" w:hAnsi="Arial" w:cs="Arial"/>
          <w:lang w:val="en-GB"/>
        </w:rPr>
        <w:t>;</w:t>
      </w:r>
    </w:p>
    <w:p w14:paraId="13D6326A" w14:textId="414B006D" w:rsidR="00F53ED6" w:rsidRPr="00485454" w:rsidRDefault="00672F40" w:rsidP="00AA3261">
      <w:pPr>
        <w:pStyle w:val="Listenabsatz"/>
        <w:numPr>
          <w:ilvl w:val="0"/>
          <w:numId w:val="36"/>
        </w:numPr>
        <w:spacing w:after="0"/>
        <w:contextualSpacing w:val="0"/>
        <w:jc w:val="both"/>
        <w:rPr>
          <w:rFonts w:ascii="Arial" w:hAnsi="Arial" w:cs="Arial"/>
          <w:lang w:val="en-GB"/>
        </w:rPr>
      </w:pPr>
      <w:r w:rsidRPr="00485454">
        <w:rPr>
          <w:rFonts w:ascii="Arial" w:hAnsi="Arial" w:cs="Arial"/>
          <w:lang w:val="en-GB"/>
        </w:rPr>
        <w:t>S</w:t>
      </w:r>
      <w:r w:rsidR="00F53ED6" w:rsidRPr="00485454">
        <w:rPr>
          <w:rFonts w:ascii="Arial" w:hAnsi="Arial" w:cs="Arial"/>
          <w:lang w:val="en-GB"/>
        </w:rPr>
        <w:t xml:space="preserve">upport </w:t>
      </w:r>
      <w:r w:rsidRPr="00485454">
        <w:rPr>
          <w:rFonts w:ascii="Arial" w:hAnsi="Arial" w:cs="Arial"/>
          <w:lang w:val="en-GB"/>
        </w:rPr>
        <w:t xml:space="preserve">to </w:t>
      </w:r>
      <w:r w:rsidR="00F53ED6" w:rsidRPr="00485454">
        <w:rPr>
          <w:rFonts w:ascii="Arial" w:hAnsi="Arial" w:cs="Arial"/>
          <w:lang w:val="en-GB"/>
        </w:rPr>
        <w:t>the municipalit</w:t>
      </w:r>
      <w:r w:rsidR="00395374" w:rsidRPr="00485454">
        <w:rPr>
          <w:rFonts w:ascii="Arial" w:hAnsi="Arial" w:cs="Arial"/>
          <w:lang w:val="en-GB"/>
        </w:rPr>
        <w:t>ies</w:t>
      </w:r>
      <w:r w:rsidR="00F53ED6" w:rsidRPr="00485454">
        <w:rPr>
          <w:rFonts w:ascii="Arial" w:hAnsi="Arial" w:cs="Arial"/>
          <w:lang w:val="en-GB"/>
        </w:rPr>
        <w:t xml:space="preserve"> in defining </w:t>
      </w:r>
      <w:r w:rsidR="00395374" w:rsidRPr="00485454">
        <w:rPr>
          <w:rFonts w:ascii="Arial" w:hAnsi="Arial" w:cs="Arial"/>
          <w:lang w:val="en-GB"/>
        </w:rPr>
        <w:t>their</w:t>
      </w:r>
      <w:r w:rsidR="00F53ED6" w:rsidRPr="00485454">
        <w:rPr>
          <w:rFonts w:ascii="Arial" w:hAnsi="Arial" w:cs="Arial"/>
          <w:lang w:val="en-GB"/>
        </w:rPr>
        <w:t xml:space="preserve"> role as development actor (i.e.</w:t>
      </w:r>
      <w:r w:rsidRPr="00485454">
        <w:rPr>
          <w:rFonts w:ascii="Arial" w:hAnsi="Arial" w:cs="Arial"/>
          <w:lang w:val="en-GB"/>
        </w:rPr>
        <w:t>,</w:t>
      </w:r>
      <w:r w:rsidR="00F53ED6" w:rsidRPr="00485454">
        <w:rPr>
          <w:rFonts w:ascii="Arial" w:hAnsi="Arial" w:cs="Arial"/>
          <w:lang w:val="en-GB"/>
        </w:rPr>
        <w:t xml:space="preserve"> what is the role of the LSG in contrast to private sector? Where can the public administration play a role in supporting economic development? How can the LSG mobilize innovation and investments and own initiatives in the community?)</w:t>
      </w:r>
      <w:r w:rsidR="00485454">
        <w:rPr>
          <w:rFonts w:ascii="Arial" w:hAnsi="Arial" w:cs="Arial"/>
          <w:lang w:val="en-GB"/>
        </w:rPr>
        <w:t>;</w:t>
      </w:r>
    </w:p>
    <w:p w14:paraId="524F19F1" w14:textId="0DAFBCB3" w:rsidR="00B02BA4" w:rsidRPr="00485454" w:rsidRDefault="00672F40" w:rsidP="00AA3261">
      <w:pPr>
        <w:pStyle w:val="Listenabsatz"/>
        <w:numPr>
          <w:ilvl w:val="0"/>
          <w:numId w:val="36"/>
        </w:numPr>
        <w:spacing w:after="0"/>
        <w:contextualSpacing w:val="0"/>
        <w:jc w:val="both"/>
        <w:rPr>
          <w:rFonts w:ascii="Arial" w:hAnsi="Arial" w:cs="Arial"/>
          <w:lang w:val="en-GB"/>
        </w:rPr>
      </w:pPr>
      <w:r w:rsidRPr="00485454">
        <w:rPr>
          <w:rFonts w:ascii="Arial" w:hAnsi="Arial" w:cs="Arial"/>
          <w:lang w:val="en-GB"/>
        </w:rPr>
        <w:t>I</w:t>
      </w:r>
      <w:r w:rsidR="00B87327" w:rsidRPr="00485454">
        <w:rPr>
          <w:rFonts w:ascii="Arial" w:hAnsi="Arial" w:cs="Arial"/>
          <w:lang w:val="en-GB"/>
        </w:rPr>
        <w:t>dentification of</w:t>
      </w:r>
      <w:r w:rsidR="00B02BA4" w:rsidRPr="00485454">
        <w:rPr>
          <w:rFonts w:ascii="Arial" w:hAnsi="Arial" w:cs="Arial"/>
          <w:lang w:val="en-GB"/>
        </w:rPr>
        <w:t xml:space="preserve"> </w:t>
      </w:r>
      <w:r w:rsidR="004A134F">
        <w:rPr>
          <w:rFonts w:ascii="Arial" w:hAnsi="Arial" w:cs="Arial"/>
          <w:lang w:val="en-GB"/>
        </w:rPr>
        <w:t xml:space="preserve">target groups specific </w:t>
      </w:r>
      <w:r w:rsidR="00B02BA4" w:rsidRPr="00485454">
        <w:rPr>
          <w:rFonts w:ascii="Arial" w:hAnsi="Arial" w:cs="Arial"/>
          <w:lang w:val="en-GB"/>
        </w:rPr>
        <w:t xml:space="preserve">needs and priorities: </w:t>
      </w:r>
      <w:r w:rsidR="00B87327" w:rsidRPr="00485454">
        <w:rPr>
          <w:rFonts w:ascii="Arial" w:hAnsi="Arial" w:cs="Arial"/>
          <w:lang w:val="en-GB"/>
        </w:rPr>
        <w:t>Identification</w:t>
      </w:r>
      <w:r w:rsidR="00B02BA4" w:rsidRPr="00485454">
        <w:rPr>
          <w:rFonts w:ascii="Arial" w:hAnsi="Arial" w:cs="Arial"/>
          <w:lang w:val="en-GB"/>
        </w:rPr>
        <w:t xml:space="preserve"> of public investment needs</w:t>
      </w:r>
      <w:r w:rsidR="006C2570" w:rsidRPr="00485454">
        <w:rPr>
          <w:rFonts w:ascii="Arial" w:hAnsi="Arial" w:cs="Arial"/>
          <w:lang w:val="en-GB"/>
        </w:rPr>
        <w:t xml:space="preserve"> and their prioritisation</w:t>
      </w:r>
      <w:r w:rsidR="00485454">
        <w:rPr>
          <w:rFonts w:ascii="Arial" w:hAnsi="Arial" w:cs="Arial"/>
          <w:lang w:val="en-GB"/>
        </w:rPr>
        <w:t>;</w:t>
      </w:r>
    </w:p>
    <w:p w14:paraId="320EF1C1" w14:textId="29E6CB16" w:rsidR="00B02BA4" w:rsidRDefault="00B02BA4" w:rsidP="00AA3261">
      <w:pPr>
        <w:pStyle w:val="Listenabsatz"/>
        <w:numPr>
          <w:ilvl w:val="0"/>
          <w:numId w:val="36"/>
        </w:numPr>
        <w:spacing w:after="0"/>
        <w:contextualSpacing w:val="0"/>
        <w:jc w:val="both"/>
        <w:rPr>
          <w:rFonts w:ascii="Arial" w:hAnsi="Arial" w:cs="Arial"/>
          <w:lang w:val="en-GB"/>
        </w:rPr>
      </w:pPr>
      <w:r w:rsidRPr="00485454">
        <w:rPr>
          <w:rFonts w:ascii="Arial" w:hAnsi="Arial" w:cs="Arial"/>
          <w:lang w:val="en-GB"/>
        </w:rPr>
        <w:lastRenderedPageBreak/>
        <w:t xml:space="preserve">Support </w:t>
      </w:r>
      <w:r w:rsidR="00395374" w:rsidRPr="00485454">
        <w:rPr>
          <w:rFonts w:ascii="Arial" w:hAnsi="Arial" w:cs="Arial"/>
          <w:lang w:val="en-GB"/>
        </w:rPr>
        <w:t>in</w:t>
      </w:r>
      <w:r w:rsidRPr="00485454">
        <w:rPr>
          <w:rFonts w:ascii="Arial" w:hAnsi="Arial" w:cs="Arial"/>
          <w:lang w:val="en-GB"/>
        </w:rPr>
        <w:t xml:space="preserve"> </w:t>
      </w:r>
      <w:r w:rsidR="002C2211" w:rsidRPr="00485454">
        <w:rPr>
          <w:rFonts w:ascii="Arial" w:hAnsi="Arial" w:cs="Arial"/>
          <w:lang w:val="en-GB"/>
        </w:rPr>
        <w:t xml:space="preserve">the </w:t>
      </w:r>
      <w:r w:rsidRPr="00485454">
        <w:rPr>
          <w:rFonts w:ascii="Arial" w:hAnsi="Arial" w:cs="Arial"/>
          <w:lang w:val="en-GB"/>
        </w:rPr>
        <w:t>elaboration of at least 1 project proposal for subvention</w:t>
      </w:r>
      <w:r w:rsidR="00B87327" w:rsidRPr="00485454">
        <w:rPr>
          <w:rFonts w:ascii="Arial" w:hAnsi="Arial" w:cs="Arial"/>
          <w:lang w:val="en-GB"/>
        </w:rPr>
        <w:t xml:space="preserve">s </w:t>
      </w:r>
      <w:r w:rsidR="0004103B" w:rsidRPr="00485454">
        <w:rPr>
          <w:rFonts w:ascii="Arial" w:hAnsi="Arial" w:cs="Arial"/>
          <w:lang w:val="en-GB"/>
        </w:rPr>
        <w:t xml:space="preserve">(or other sources of funding) </w:t>
      </w:r>
      <w:r w:rsidR="00B87327" w:rsidRPr="00485454">
        <w:rPr>
          <w:rFonts w:ascii="Arial" w:hAnsi="Arial" w:cs="Arial"/>
          <w:lang w:val="en-GB"/>
        </w:rPr>
        <w:t xml:space="preserve">in each of the </w:t>
      </w:r>
      <w:r w:rsidR="0004103B" w:rsidRPr="00485454">
        <w:rPr>
          <w:rFonts w:ascii="Arial" w:hAnsi="Arial" w:cs="Arial"/>
          <w:lang w:val="en-GB"/>
        </w:rPr>
        <w:t xml:space="preserve">partner </w:t>
      </w:r>
      <w:r w:rsidR="00B87327" w:rsidRPr="00485454">
        <w:rPr>
          <w:rFonts w:ascii="Arial" w:hAnsi="Arial" w:cs="Arial"/>
          <w:lang w:val="en-GB"/>
        </w:rPr>
        <w:t>communit</w:t>
      </w:r>
      <w:r w:rsidR="0004103B" w:rsidRPr="00485454">
        <w:rPr>
          <w:rFonts w:ascii="Arial" w:hAnsi="Arial" w:cs="Arial"/>
          <w:lang w:val="en-GB"/>
        </w:rPr>
        <w:t>ies</w:t>
      </w:r>
      <w:r w:rsidR="00485454">
        <w:rPr>
          <w:rFonts w:ascii="Arial" w:hAnsi="Arial" w:cs="Arial"/>
          <w:lang w:val="en-GB"/>
        </w:rPr>
        <w:t>;</w:t>
      </w:r>
    </w:p>
    <w:p w14:paraId="1609DD57" w14:textId="6D0AE7D2" w:rsidR="004A134F" w:rsidRPr="00485454" w:rsidRDefault="004A134F" w:rsidP="00AA3261">
      <w:pPr>
        <w:pStyle w:val="Listenabsatz"/>
        <w:numPr>
          <w:ilvl w:val="0"/>
          <w:numId w:val="36"/>
        </w:numPr>
        <w:spacing w:after="0"/>
        <w:contextualSpacing w:val="0"/>
        <w:jc w:val="both"/>
        <w:rPr>
          <w:rFonts w:ascii="Arial" w:hAnsi="Arial" w:cs="Arial"/>
          <w:lang w:val="en-GB"/>
        </w:rPr>
      </w:pPr>
      <w:r>
        <w:rPr>
          <w:rFonts w:ascii="Arial" w:hAnsi="Arial" w:cs="Arial"/>
          <w:lang w:val="en-GB"/>
        </w:rPr>
        <w:t xml:space="preserve">Support in the </w:t>
      </w:r>
      <w:r w:rsidR="00CF537D" w:rsidRPr="00867A91">
        <w:rPr>
          <w:rFonts w:ascii="Arial" w:hAnsi="Arial" w:cs="Arial"/>
          <w:lang w:val="en-US"/>
        </w:rPr>
        <w:t>design of project proposals that could be implemented at own resources of the partner municipality</w:t>
      </w:r>
      <w:r w:rsidR="00467968">
        <w:rPr>
          <w:rFonts w:ascii="Arial" w:hAnsi="Arial" w:cs="Arial"/>
          <w:lang w:val="en-GB"/>
        </w:rPr>
        <w:t xml:space="preserve"> in each of the partner communities</w:t>
      </w:r>
      <w:r>
        <w:rPr>
          <w:rFonts w:ascii="Arial" w:hAnsi="Arial" w:cs="Arial"/>
          <w:lang w:val="en-GB"/>
        </w:rPr>
        <w:t xml:space="preserve"> </w:t>
      </w:r>
    </w:p>
    <w:p w14:paraId="3CFB4661" w14:textId="68123AD4" w:rsidR="00395374" w:rsidRPr="006731D7" w:rsidRDefault="1F440154" w:rsidP="006731D7">
      <w:pPr>
        <w:pStyle w:val="Listenabsatz"/>
        <w:numPr>
          <w:ilvl w:val="0"/>
          <w:numId w:val="36"/>
        </w:numPr>
        <w:spacing w:after="0"/>
        <w:contextualSpacing w:val="0"/>
        <w:jc w:val="both"/>
        <w:rPr>
          <w:rFonts w:ascii="Arial" w:hAnsi="Arial" w:cs="Arial"/>
          <w:lang w:val="en-GB"/>
        </w:rPr>
      </w:pPr>
      <w:r w:rsidRPr="00485454">
        <w:rPr>
          <w:rFonts w:ascii="Arial" w:hAnsi="Arial" w:cs="Arial"/>
          <w:lang w:val="en-GB"/>
        </w:rPr>
        <w:t>Support</w:t>
      </w:r>
      <w:r w:rsidR="00395374" w:rsidRPr="00485454">
        <w:rPr>
          <w:rFonts w:ascii="Arial" w:hAnsi="Arial" w:cs="Arial"/>
          <w:lang w:val="en-GB"/>
        </w:rPr>
        <w:t xml:space="preserve"> to </w:t>
      </w:r>
      <w:r w:rsidRPr="00485454">
        <w:rPr>
          <w:rFonts w:ascii="Arial" w:hAnsi="Arial" w:cs="Arial"/>
          <w:lang w:val="en-GB"/>
        </w:rPr>
        <w:t xml:space="preserve">partner LSGs in </w:t>
      </w:r>
      <w:r w:rsidR="7E9673EC" w:rsidRPr="00485454">
        <w:rPr>
          <w:rFonts w:ascii="Arial" w:hAnsi="Arial" w:cs="Arial"/>
          <w:lang w:val="en-GB"/>
        </w:rPr>
        <w:t>e</w:t>
      </w:r>
      <w:r w:rsidR="00B02BA4" w:rsidRPr="00485454">
        <w:rPr>
          <w:rFonts w:ascii="Arial" w:hAnsi="Arial" w:cs="Arial"/>
          <w:lang w:val="en-GB"/>
        </w:rPr>
        <w:t>laborat</w:t>
      </w:r>
      <w:r w:rsidR="573E1D4E" w:rsidRPr="00485454">
        <w:rPr>
          <w:rFonts w:ascii="Arial" w:hAnsi="Arial" w:cs="Arial"/>
          <w:lang w:val="en-GB"/>
        </w:rPr>
        <w:t>ion of</w:t>
      </w:r>
      <w:r w:rsidR="00B02BA4" w:rsidRPr="00485454">
        <w:rPr>
          <w:rFonts w:ascii="Arial" w:hAnsi="Arial" w:cs="Arial"/>
          <w:lang w:val="en-GB"/>
        </w:rPr>
        <w:t xml:space="preserve"> environmentally sustainable </w:t>
      </w:r>
      <w:r w:rsidR="00993930" w:rsidRPr="00485454">
        <w:rPr>
          <w:rFonts w:ascii="Arial" w:hAnsi="Arial" w:cs="Arial"/>
          <w:lang w:val="en-GB"/>
        </w:rPr>
        <w:t>L</w:t>
      </w:r>
      <w:r w:rsidR="00B02BA4" w:rsidRPr="00485454">
        <w:rPr>
          <w:rFonts w:ascii="Arial" w:hAnsi="Arial" w:cs="Arial"/>
          <w:lang w:val="en-GB"/>
        </w:rPr>
        <w:t>ED plan</w:t>
      </w:r>
      <w:r w:rsidR="00993930" w:rsidRPr="00485454">
        <w:rPr>
          <w:rFonts w:ascii="Arial" w:hAnsi="Arial" w:cs="Arial"/>
          <w:lang w:val="en-GB"/>
        </w:rPr>
        <w:t>s</w:t>
      </w:r>
      <w:r w:rsidR="00F53ED6" w:rsidRPr="00485454">
        <w:rPr>
          <w:rFonts w:ascii="Arial" w:hAnsi="Arial" w:cs="Arial"/>
          <w:lang w:val="en-GB"/>
        </w:rPr>
        <w:t xml:space="preserve"> and </w:t>
      </w:r>
      <w:r w:rsidR="00993930" w:rsidRPr="00485454">
        <w:rPr>
          <w:rFonts w:ascii="Arial" w:hAnsi="Arial" w:cs="Arial"/>
          <w:lang w:val="en-GB"/>
        </w:rPr>
        <w:t>ensuring</w:t>
      </w:r>
      <w:r w:rsidR="00F53ED6" w:rsidRPr="00485454">
        <w:rPr>
          <w:rFonts w:ascii="Arial" w:hAnsi="Arial" w:cs="Arial"/>
          <w:lang w:val="en-GB"/>
        </w:rPr>
        <w:t xml:space="preserve"> the reflection</w:t>
      </w:r>
      <w:r w:rsidR="00B02BA4" w:rsidRPr="00485454">
        <w:rPr>
          <w:rFonts w:ascii="Arial" w:hAnsi="Arial" w:cs="Arial"/>
          <w:lang w:val="en-GB"/>
        </w:rPr>
        <w:t xml:space="preserve"> of LED plan</w:t>
      </w:r>
      <w:r w:rsidR="008D102F" w:rsidRPr="00485454">
        <w:rPr>
          <w:rFonts w:ascii="Arial" w:hAnsi="Arial" w:cs="Arial"/>
          <w:lang w:val="en-GB"/>
        </w:rPr>
        <w:t>s</w:t>
      </w:r>
      <w:r w:rsidR="00B02BA4" w:rsidRPr="00485454">
        <w:rPr>
          <w:rFonts w:ascii="Arial" w:hAnsi="Arial" w:cs="Arial"/>
          <w:lang w:val="en-GB"/>
        </w:rPr>
        <w:t xml:space="preserve"> in </w:t>
      </w:r>
      <w:r w:rsidR="00395374" w:rsidRPr="00485454">
        <w:rPr>
          <w:rFonts w:ascii="Arial" w:hAnsi="Arial" w:cs="Arial"/>
          <w:lang w:val="en-GB"/>
        </w:rPr>
        <w:t xml:space="preserve">the </w:t>
      </w:r>
      <w:r w:rsidR="00B02BA4" w:rsidRPr="00485454">
        <w:rPr>
          <w:rFonts w:ascii="Arial" w:hAnsi="Arial" w:cs="Arial"/>
          <w:lang w:val="en-GB"/>
        </w:rPr>
        <w:t xml:space="preserve">2021 </w:t>
      </w:r>
      <w:r w:rsidR="00395374" w:rsidRPr="00485454">
        <w:rPr>
          <w:rFonts w:ascii="Arial" w:hAnsi="Arial" w:cs="Arial"/>
          <w:lang w:val="en-GB"/>
        </w:rPr>
        <w:t>Annual Work Plan (</w:t>
      </w:r>
      <w:r w:rsidR="00B02BA4" w:rsidRPr="00485454">
        <w:rPr>
          <w:rFonts w:ascii="Arial" w:hAnsi="Arial" w:cs="Arial"/>
          <w:lang w:val="en-GB"/>
        </w:rPr>
        <w:t>AWP</w:t>
      </w:r>
      <w:r w:rsidR="00395374" w:rsidRPr="00485454">
        <w:rPr>
          <w:rFonts w:ascii="Arial" w:hAnsi="Arial" w:cs="Arial"/>
          <w:lang w:val="en-GB"/>
        </w:rPr>
        <w:t>)</w:t>
      </w:r>
      <w:r w:rsidR="0004050A" w:rsidRPr="00485454">
        <w:rPr>
          <w:rFonts w:ascii="Arial" w:hAnsi="Arial" w:cs="Arial"/>
          <w:lang w:val="en-GB"/>
        </w:rPr>
        <w:t>.</w:t>
      </w:r>
    </w:p>
    <w:p w14:paraId="1BA161E1" w14:textId="47CCEC57" w:rsidR="00F53ED6" w:rsidRPr="00485454" w:rsidRDefault="00F53ED6" w:rsidP="00AA3261">
      <w:pPr>
        <w:pStyle w:val="Listenabsatz"/>
        <w:numPr>
          <w:ilvl w:val="0"/>
          <w:numId w:val="38"/>
        </w:numPr>
        <w:spacing w:before="120" w:after="120"/>
        <w:ind w:left="357" w:hanging="357"/>
        <w:contextualSpacing w:val="0"/>
        <w:jc w:val="both"/>
        <w:rPr>
          <w:rFonts w:ascii="Arial" w:hAnsi="Arial" w:cs="Arial"/>
          <w:lang w:val="en-GB"/>
        </w:rPr>
      </w:pPr>
      <w:r w:rsidRPr="00485454">
        <w:rPr>
          <w:rFonts w:ascii="Arial" w:hAnsi="Arial" w:cs="Arial"/>
          <w:lang w:val="en-GB"/>
        </w:rPr>
        <w:t>Capacity Development to LED Core Group</w:t>
      </w:r>
      <w:r w:rsidR="00E61C85" w:rsidRPr="00485454">
        <w:rPr>
          <w:rFonts w:ascii="Arial" w:hAnsi="Arial" w:cs="Arial"/>
          <w:lang w:val="en-GB"/>
        </w:rPr>
        <w:t>:</w:t>
      </w:r>
    </w:p>
    <w:p w14:paraId="28B28C0A" w14:textId="55A0E810" w:rsidR="0004103B" w:rsidRPr="00485454" w:rsidRDefault="009101DE" w:rsidP="00E61C85">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 xml:space="preserve">Enhancing capacities in project proposal appraisal </w:t>
      </w:r>
      <w:r w:rsidR="00395374" w:rsidRPr="00485454">
        <w:rPr>
          <w:rFonts w:ascii="Arial" w:hAnsi="Arial" w:cs="Arial"/>
          <w:lang w:val="en-GB"/>
        </w:rPr>
        <w:t>via</w:t>
      </w:r>
      <w:r w:rsidRPr="00485454">
        <w:rPr>
          <w:rFonts w:ascii="Arial" w:hAnsi="Arial" w:cs="Arial"/>
          <w:lang w:val="en-GB"/>
        </w:rPr>
        <w:t xml:space="preserve"> at least two thematic (theory and practice) workshops</w:t>
      </w:r>
      <w:r w:rsidR="00485454">
        <w:rPr>
          <w:rFonts w:ascii="Arial" w:hAnsi="Arial" w:cs="Arial"/>
          <w:lang w:val="en-GB"/>
        </w:rPr>
        <w:t>;</w:t>
      </w:r>
    </w:p>
    <w:p w14:paraId="14C36321" w14:textId="18F399C9" w:rsidR="00D67BE6" w:rsidRPr="00485454" w:rsidRDefault="00D67BE6" w:rsidP="00E61C85">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Delivery of at least two training workshops to meet the identified training needs of the LED Core Group</w:t>
      </w:r>
      <w:r w:rsidR="00485454">
        <w:rPr>
          <w:rFonts w:ascii="Arial" w:hAnsi="Arial" w:cs="Arial"/>
          <w:lang w:val="en-GB"/>
        </w:rPr>
        <w:t>;</w:t>
      </w:r>
    </w:p>
    <w:p w14:paraId="1599A8EB" w14:textId="6751F9D2" w:rsidR="00E61C85" w:rsidRPr="00485454" w:rsidRDefault="009101DE" w:rsidP="00E61C85">
      <w:pPr>
        <w:pStyle w:val="Listenabsatz"/>
        <w:numPr>
          <w:ilvl w:val="1"/>
          <w:numId w:val="38"/>
        </w:numPr>
        <w:spacing w:after="0"/>
        <w:ind w:left="714" w:hanging="357"/>
        <w:contextualSpacing w:val="0"/>
        <w:jc w:val="both"/>
        <w:rPr>
          <w:rFonts w:ascii="Arial" w:hAnsi="Arial" w:cs="Arial"/>
          <w:lang w:val="en-GB"/>
        </w:rPr>
      </w:pPr>
      <w:r w:rsidRPr="05FC6599">
        <w:rPr>
          <w:rFonts w:ascii="Arial" w:hAnsi="Arial" w:cs="Arial"/>
          <w:lang w:val="en-GB"/>
        </w:rPr>
        <w:t xml:space="preserve">Implementation of </w:t>
      </w:r>
      <w:r w:rsidR="00D34A6F" w:rsidRPr="05FC6599">
        <w:rPr>
          <w:rFonts w:ascii="Arial" w:hAnsi="Arial" w:cs="Arial"/>
          <w:lang w:val="en-GB"/>
        </w:rPr>
        <w:t xml:space="preserve">the concept </w:t>
      </w:r>
      <w:r w:rsidRPr="05FC6599">
        <w:rPr>
          <w:rFonts w:ascii="Arial" w:hAnsi="Arial" w:cs="Arial"/>
          <w:lang w:val="en-GB"/>
        </w:rPr>
        <w:t xml:space="preserve">of </w:t>
      </w:r>
      <w:r w:rsidR="00D34A6F" w:rsidRPr="05FC6599">
        <w:rPr>
          <w:rFonts w:ascii="Arial" w:hAnsi="Arial" w:cs="Arial"/>
          <w:lang w:val="en-GB"/>
        </w:rPr>
        <w:t>“</w:t>
      </w:r>
      <w:r w:rsidR="002C2211" w:rsidRPr="05FC6599">
        <w:rPr>
          <w:rFonts w:ascii="Arial" w:hAnsi="Arial" w:cs="Arial"/>
          <w:lang w:val="en-GB"/>
        </w:rPr>
        <w:t>B</w:t>
      </w:r>
      <w:r w:rsidR="00E61C85" w:rsidRPr="05FC6599">
        <w:rPr>
          <w:rFonts w:ascii="Arial" w:hAnsi="Arial" w:cs="Arial"/>
          <w:lang w:val="en-GB"/>
        </w:rPr>
        <w:t xml:space="preserve">usiness </w:t>
      </w:r>
      <w:r w:rsidR="002C2211" w:rsidRPr="05FC6599">
        <w:rPr>
          <w:rFonts w:ascii="Arial" w:hAnsi="Arial" w:cs="Arial"/>
          <w:lang w:val="en-GB"/>
        </w:rPr>
        <w:t>Friendly Community</w:t>
      </w:r>
      <w:r w:rsidR="00D34A6F" w:rsidRPr="05FC6599">
        <w:rPr>
          <w:rFonts w:ascii="Arial" w:hAnsi="Arial" w:cs="Arial"/>
          <w:lang w:val="en-GB"/>
        </w:rPr>
        <w:t>”</w:t>
      </w:r>
      <w:r w:rsidR="0004103B" w:rsidRPr="05FC6599">
        <w:rPr>
          <w:rFonts w:ascii="Arial" w:hAnsi="Arial" w:cs="Arial"/>
          <w:lang w:val="en-GB"/>
        </w:rPr>
        <w:t xml:space="preserve"> in</w:t>
      </w:r>
      <w:r w:rsidR="002C2211" w:rsidRPr="05FC6599">
        <w:rPr>
          <w:rFonts w:ascii="Arial" w:hAnsi="Arial" w:cs="Arial"/>
          <w:lang w:val="en-GB"/>
        </w:rPr>
        <w:t xml:space="preserve"> 15</w:t>
      </w:r>
      <w:r w:rsidR="00395374" w:rsidRPr="05FC6599">
        <w:rPr>
          <w:rFonts w:ascii="Arial" w:hAnsi="Arial" w:cs="Arial"/>
          <w:lang w:val="en-GB"/>
        </w:rPr>
        <w:t xml:space="preserve"> </w:t>
      </w:r>
      <w:r w:rsidR="00485454" w:rsidRPr="05FC6599">
        <w:rPr>
          <w:rFonts w:ascii="Arial" w:hAnsi="Arial" w:cs="Arial"/>
          <w:lang w:val="en-GB"/>
        </w:rPr>
        <w:t xml:space="preserve">further </w:t>
      </w:r>
      <w:r w:rsidR="0004103B" w:rsidRPr="05FC6599">
        <w:rPr>
          <w:rFonts w:ascii="Arial" w:hAnsi="Arial" w:cs="Arial"/>
          <w:lang w:val="en-GB"/>
        </w:rPr>
        <w:t>target LSGs</w:t>
      </w:r>
      <w:r w:rsidR="00395374" w:rsidRPr="05FC6599">
        <w:rPr>
          <w:rFonts w:ascii="Arial" w:hAnsi="Arial" w:cs="Arial"/>
          <w:lang w:val="en-GB"/>
        </w:rPr>
        <w:t xml:space="preserve"> to be defined in consultations with the LED Core Group and MTAI</w:t>
      </w:r>
      <w:r w:rsidR="00485454" w:rsidRPr="05FC6599">
        <w:rPr>
          <w:rFonts w:ascii="Arial" w:hAnsi="Arial" w:cs="Arial"/>
          <w:lang w:val="en-GB"/>
        </w:rPr>
        <w:t>:</w:t>
      </w:r>
    </w:p>
    <w:p w14:paraId="4D9A7EEC" w14:textId="55B22AEE" w:rsidR="00E61C85" w:rsidRPr="00485454" w:rsidRDefault="00395374" w:rsidP="00AA3261">
      <w:pPr>
        <w:pStyle w:val="Listenabsatz"/>
        <w:numPr>
          <w:ilvl w:val="1"/>
          <w:numId w:val="40"/>
        </w:numPr>
        <w:spacing w:after="0"/>
        <w:contextualSpacing w:val="0"/>
        <w:jc w:val="both"/>
        <w:rPr>
          <w:rFonts w:ascii="Arial" w:hAnsi="Arial" w:cs="Arial"/>
          <w:lang w:val="en-GB"/>
        </w:rPr>
      </w:pPr>
      <w:r w:rsidRPr="00485454">
        <w:rPr>
          <w:rFonts w:ascii="Arial" w:hAnsi="Arial" w:cs="Arial"/>
          <w:lang w:val="en-GB"/>
        </w:rPr>
        <w:t>F</w:t>
      </w:r>
      <w:r w:rsidR="006B2E07" w:rsidRPr="00485454">
        <w:rPr>
          <w:rFonts w:ascii="Arial" w:hAnsi="Arial" w:cs="Arial"/>
          <w:lang w:val="en-GB"/>
        </w:rPr>
        <w:t xml:space="preserve">amiliarisation </w:t>
      </w:r>
      <w:r w:rsidR="00E61C85" w:rsidRPr="00485454">
        <w:rPr>
          <w:rFonts w:ascii="Arial" w:hAnsi="Arial" w:cs="Arial"/>
          <w:lang w:val="en-GB"/>
        </w:rPr>
        <w:t xml:space="preserve">of the LED </w:t>
      </w:r>
      <w:r w:rsidR="009101DE" w:rsidRPr="00485454">
        <w:rPr>
          <w:rFonts w:ascii="Arial" w:hAnsi="Arial" w:cs="Arial"/>
          <w:lang w:val="en-GB"/>
        </w:rPr>
        <w:t>officers in the partner LSGs</w:t>
      </w:r>
      <w:r w:rsidR="00E61C85" w:rsidRPr="00485454">
        <w:rPr>
          <w:rFonts w:ascii="Arial" w:hAnsi="Arial" w:cs="Arial"/>
          <w:lang w:val="en-GB"/>
        </w:rPr>
        <w:t xml:space="preserve"> </w:t>
      </w:r>
      <w:r w:rsidR="006B2E07" w:rsidRPr="00485454">
        <w:rPr>
          <w:rFonts w:ascii="Arial" w:hAnsi="Arial" w:cs="Arial"/>
          <w:lang w:val="en-GB"/>
        </w:rPr>
        <w:t>with the concept of “</w:t>
      </w:r>
      <w:r w:rsidR="002C2211" w:rsidRPr="00485454">
        <w:rPr>
          <w:rFonts w:ascii="Arial" w:hAnsi="Arial" w:cs="Arial"/>
          <w:lang w:val="en-GB"/>
        </w:rPr>
        <w:t>Business Friendly Community</w:t>
      </w:r>
      <w:r w:rsidR="006B2E07" w:rsidRPr="00485454">
        <w:rPr>
          <w:rFonts w:ascii="Arial" w:hAnsi="Arial" w:cs="Arial"/>
          <w:lang w:val="en-GB"/>
        </w:rPr>
        <w:t>”</w:t>
      </w:r>
      <w:r w:rsidR="00485454">
        <w:rPr>
          <w:rFonts w:ascii="Arial" w:hAnsi="Arial" w:cs="Arial"/>
          <w:lang w:val="en-GB"/>
        </w:rPr>
        <w:t>;</w:t>
      </w:r>
    </w:p>
    <w:p w14:paraId="1525B747" w14:textId="2F25D67C" w:rsidR="00E61C85" w:rsidRPr="00485454" w:rsidRDefault="00395374" w:rsidP="00AA3261">
      <w:pPr>
        <w:pStyle w:val="Listenabsatz"/>
        <w:numPr>
          <w:ilvl w:val="1"/>
          <w:numId w:val="40"/>
        </w:numPr>
        <w:spacing w:after="0"/>
        <w:contextualSpacing w:val="0"/>
        <w:jc w:val="both"/>
        <w:rPr>
          <w:rFonts w:ascii="Arial" w:hAnsi="Arial" w:cs="Arial"/>
          <w:lang w:val="en-GB"/>
        </w:rPr>
      </w:pPr>
      <w:r w:rsidRPr="00485454">
        <w:rPr>
          <w:rFonts w:ascii="Arial" w:hAnsi="Arial" w:cs="Arial"/>
          <w:lang w:val="en-GB"/>
        </w:rPr>
        <w:t>D</w:t>
      </w:r>
      <w:r w:rsidR="006B2E07" w:rsidRPr="00485454">
        <w:rPr>
          <w:rFonts w:ascii="Arial" w:hAnsi="Arial" w:cs="Arial"/>
          <w:lang w:val="en-GB"/>
        </w:rPr>
        <w:t>evelopment of a</w:t>
      </w:r>
      <w:r w:rsidR="00E61C85" w:rsidRPr="00485454">
        <w:rPr>
          <w:rFonts w:ascii="Arial" w:hAnsi="Arial" w:cs="Arial"/>
          <w:lang w:val="en-GB"/>
        </w:rPr>
        <w:t xml:space="preserve">n approach </w:t>
      </w:r>
      <w:r w:rsidR="006B2E07" w:rsidRPr="00485454">
        <w:rPr>
          <w:rFonts w:ascii="Arial" w:hAnsi="Arial" w:cs="Arial"/>
          <w:lang w:val="en-GB"/>
        </w:rPr>
        <w:t>to fulfil the BFC criteria</w:t>
      </w:r>
      <w:r w:rsidR="00E61C85" w:rsidRPr="00485454">
        <w:rPr>
          <w:rFonts w:ascii="Arial" w:hAnsi="Arial" w:cs="Arial"/>
          <w:lang w:val="en-GB"/>
        </w:rPr>
        <w:t xml:space="preserve"> in municipalities</w:t>
      </w:r>
      <w:r w:rsidR="00485454">
        <w:rPr>
          <w:rFonts w:ascii="Arial" w:hAnsi="Arial" w:cs="Arial"/>
          <w:lang w:val="en-GB"/>
        </w:rPr>
        <w:t>;</w:t>
      </w:r>
    </w:p>
    <w:p w14:paraId="1A10833C" w14:textId="4EE9EC4B" w:rsidR="00F53ED6" w:rsidRDefault="00395374" w:rsidP="004131F4">
      <w:pPr>
        <w:pStyle w:val="Listenabsatz"/>
        <w:numPr>
          <w:ilvl w:val="1"/>
          <w:numId w:val="40"/>
        </w:numPr>
        <w:tabs>
          <w:tab w:val="left" w:pos="3119"/>
        </w:tabs>
        <w:spacing w:after="0"/>
        <w:contextualSpacing w:val="0"/>
        <w:jc w:val="both"/>
        <w:rPr>
          <w:rFonts w:ascii="Arial" w:hAnsi="Arial" w:cs="Arial"/>
          <w:lang w:val="en-GB"/>
        </w:rPr>
      </w:pPr>
      <w:r w:rsidRPr="00485454">
        <w:rPr>
          <w:rFonts w:ascii="Arial" w:hAnsi="Arial" w:cs="Arial"/>
          <w:lang w:val="en-GB"/>
        </w:rPr>
        <w:t>P</w:t>
      </w:r>
      <w:r w:rsidR="00E61C85" w:rsidRPr="00485454">
        <w:rPr>
          <w:rFonts w:ascii="Arial" w:hAnsi="Arial" w:cs="Arial"/>
          <w:lang w:val="en-GB"/>
        </w:rPr>
        <w:t xml:space="preserve">ilot the approach in </w:t>
      </w:r>
      <w:r w:rsidR="00696157" w:rsidRPr="00485454">
        <w:rPr>
          <w:rFonts w:ascii="Arial" w:hAnsi="Arial" w:cs="Arial"/>
          <w:lang w:val="en-GB"/>
        </w:rPr>
        <w:t>15</w:t>
      </w:r>
      <w:r w:rsidR="00D34A6F" w:rsidRPr="00485454">
        <w:rPr>
          <w:rStyle w:val="Funotenzeichen"/>
          <w:rFonts w:ascii="Arial" w:hAnsi="Arial" w:cs="Arial"/>
          <w:lang w:val="en-GB"/>
        </w:rPr>
        <w:footnoteReference w:id="5"/>
      </w:r>
      <w:r w:rsidR="00E61C85" w:rsidRPr="00485454">
        <w:rPr>
          <w:rFonts w:ascii="Arial" w:hAnsi="Arial" w:cs="Arial"/>
          <w:lang w:val="en-GB"/>
        </w:rPr>
        <w:t xml:space="preserve"> municipalities</w:t>
      </w:r>
      <w:r w:rsidR="00485454">
        <w:rPr>
          <w:rFonts w:ascii="Arial" w:hAnsi="Arial" w:cs="Arial"/>
          <w:lang w:val="en-GB"/>
        </w:rPr>
        <w:t>;</w:t>
      </w:r>
    </w:p>
    <w:p w14:paraId="7F1ACE83" w14:textId="59E356FD" w:rsidR="00485454" w:rsidRPr="00485454" w:rsidRDefault="00485454" w:rsidP="004131F4">
      <w:pPr>
        <w:pStyle w:val="Listenabsatz"/>
        <w:numPr>
          <w:ilvl w:val="1"/>
          <w:numId w:val="40"/>
        </w:numPr>
        <w:tabs>
          <w:tab w:val="left" w:pos="3119"/>
        </w:tabs>
        <w:spacing w:after="0"/>
        <w:contextualSpacing w:val="0"/>
        <w:jc w:val="both"/>
        <w:rPr>
          <w:rFonts w:ascii="Arial" w:hAnsi="Arial" w:cs="Arial"/>
          <w:lang w:val="en-GB"/>
        </w:rPr>
      </w:pPr>
      <w:r w:rsidRPr="05FC6599">
        <w:rPr>
          <w:rFonts w:ascii="Arial" w:hAnsi="Arial" w:cs="Arial"/>
          <w:lang w:val="en-GB"/>
        </w:rPr>
        <w:t>Report on the piloting of the BFC approach in these 15 municipalities and the 5 municipalities already covered in 2020;</w:t>
      </w:r>
    </w:p>
    <w:p w14:paraId="0B398EC6" w14:textId="10C9E644" w:rsidR="00E61C85" w:rsidRPr="00485454" w:rsidRDefault="00395374" w:rsidP="00E61C85">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D</w:t>
      </w:r>
      <w:r w:rsidR="00E61C85" w:rsidRPr="00485454">
        <w:rPr>
          <w:rFonts w:ascii="Arial" w:hAnsi="Arial" w:cs="Arial"/>
          <w:lang w:val="en-GB"/>
        </w:rPr>
        <w:t xml:space="preserve">evelop an approach </w:t>
      </w:r>
      <w:r w:rsidR="0004103B" w:rsidRPr="00485454">
        <w:rPr>
          <w:rFonts w:ascii="Arial" w:hAnsi="Arial" w:cs="Arial"/>
          <w:lang w:val="en-GB"/>
        </w:rPr>
        <w:t xml:space="preserve">on </w:t>
      </w:r>
      <w:r w:rsidR="00E61C85" w:rsidRPr="00485454">
        <w:rPr>
          <w:rFonts w:ascii="Arial" w:hAnsi="Arial" w:cs="Arial"/>
          <w:lang w:val="en-GB"/>
        </w:rPr>
        <w:t>how LED Core Group can provide peer-to-peer</w:t>
      </w:r>
      <w:r w:rsidR="00D34A6F" w:rsidRPr="00485454">
        <w:rPr>
          <w:rFonts w:ascii="Arial" w:hAnsi="Arial" w:cs="Arial"/>
          <w:lang w:val="en-GB"/>
        </w:rPr>
        <w:t xml:space="preserve"> advice, trainings</w:t>
      </w:r>
      <w:r w:rsidR="00E61C85" w:rsidRPr="00485454">
        <w:rPr>
          <w:rFonts w:ascii="Arial" w:hAnsi="Arial" w:cs="Arial"/>
          <w:lang w:val="en-GB"/>
        </w:rPr>
        <w:t xml:space="preserve"> and backstopping support to </w:t>
      </w:r>
      <w:r w:rsidR="00DC5759" w:rsidRPr="00485454">
        <w:rPr>
          <w:rFonts w:ascii="Arial" w:hAnsi="Arial" w:cs="Arial"/>
          <w:lang w:val="en-GB"/>
        </w:rPr>
        <w:t>1</w:t>
      </w:r>
      <w:r w:rsidR="00126EFB" w:rsidRPr="00485454">
        <w:rPr>
          <w:rFonts w:ascii="Arial" w:hAnsi="Arial" w:cs="Arial"/>
          <w:lang w:val="en-GB"/>
        </w:rPr>
        <w:t>5</w:t>
      </w:r>
      <w:r w:rsidR="00E61C85" w:rsidRPr="00485454">
        <w:rPr>
          <w:rFonts w:ascii="Arial" w:hAnsi="Arial" w:cs="Arial"/>
          <w:lang w:val="en-GB"/>
        </w:rPr>
        <w:t xml:space="preserve"> enlarged municipalities</w:t>
      </w:r>
      <w:r w:rsidR="00485454">
        <w:rPr>
          <w:rFonts w:ascii="Arial" w:hAnsi="Arial" w:cs="Arial"/>
          <w:lang w:val="en-GB"/>
        </w:rPr>
        <w:t>;</w:t>
      </w:r>
    </w:p>
    <w:p w14:paraId="3108C54F" w14:textId="2C938A15" w:rsidR="00E61C85" w:rsidRPr="00485454" w:rsidRDefault="00395374" w:rsidP="00E61C85">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R</w:t>
      </w:r>
      <w:r w:rsidR="00503094" w:rsidRPr="00485454">
        <w:rPr>
          <w:rFonts w:ascii="Arial" w:hAnsi="Arial" w:cs="Arial"/>
          <w:lang w:val="en-GB"/>
        </w:rPr>
        <w:t>eview and take stock of existing methodologies, processes and tools available to LED</w:t>
      </w:r>
      <w:r w:rsidRPr="00485454">
        <w:rPr>
          <w:rFonts w:ascii="Arial" w:hAnsi="Arial" w:cs="Arial"/>
          <w:lang w:val="en-GB"/>
        </w:rPr>
        <w:t xml:space="preserve"> Core Group</w:t>
      </w:r>
      <w:r w:rsidR="00485454">
        <w:rPr>
          <w:rFonts w:ascii="Arial" w:hAnsi="Arial" w:cs="Arial"/>
          <w:lang w:val="en-GB"/>
        </w:rPr>
        <w:t>;</w:t>
      </w:r>
    </w:p>
    <w:p w14:paraId="790A84F7" w14:textId="7B32EB66" w:rsidR="0004103B" w:rsidRPr="002C3CD3" w:rsidRDefault="00395374" w:rsidP="76F87887">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I</w:t>
      </w:r>
      <w:r w:rsidR="004465B5" w:rsidRPr="00485454">
        <w:rPr>
          <w:rFonts w:ascii="Arial" w:hAnsi="Arial" w:cs="Arial"/>
          <w:lang w:val="en-GB"/>
        </w:rPr>
        <w:t>n coordination with MTAI design of a vision on institutionalisation of the LED Core Group as main channel for LSG to raise issues regarding LED towards MTAI</w:t>
      </w:r>
      <w:r w:rsidR="0074523B" w:rsidRPr="00485454">
        <w:rPr>
          <w:rFonts w:ascii="Arial" w:hAnsi="Arial" w:cs="Arial"/>
          <w:lang w:val="en-GB"/>
        </w:rPr>
        <w:t>.</w:t>
      </w:r>
    </w:p>
    <w:p w14:paraId="31DAD845" w14:textId="334FC53D" w:rsidR="00B02BA4" w:rsidRPr="00485454" w:rsidRDefault="00B02BA4" w:rsidP="00E61C85">
      <w:pPr>
        <w:pStyle w:val="Listenabsatz"/>
        <w:numPr>
          <w:ilvl w:val="0"/>
          <w:numId w:val="38"/>
        </w:numPr>
        <w:spacing w:before="120" w:after="120"/>
        <w:ind w:left="357" w:hanging="357"/>
        <w:contextualSpacing w:val="0"/>
        <w:jc w:val="both"/>
        <w:rPr>
          <w:rFonts w:ascii="Arial" w:hAnsi="Arial" w:cs="Arial"/>
          <w:lang w:val="en-GB"/>
        </w:rPr>
      </w:pPr>
      <w:r w:rsidRPr="00485454">
        <w:rPr>
          <w:rFonts w:ascii="Arial" w:hAnsi="Arial" w:cs="Arial"/>
          <w:lang w:val="en-GB"/>
        </w:rPr>
        <w:t xml:space="preserve">Review of </w:t>
      </w:r>
      <w:r w:rsidR="0004103B" w:rsidRPr="00485454">
        <w:rPr>
          <w:rFonts w:ascii="Arial" w:hAnsi="Arial" w:cs="Arial"/>
          <w:lang w:val="en-GB"/>
        </w:rPr>
        <w:t>the existing subventions scheme, including:</w:t>
      </w:r>
    </w:p>
    <w:p w14:paraId="64A64749" w14:textId="37B231AA" w:rsidR="0004103B" w:rsidRPr="00485454" w:rsidRDefault="0004103B" w:rsidP="00E43662">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Review of the mechanisms, toolkits, including methodologies and evaluation criteria</w:t>
      </w:r>
      <w:r w:rsidR="003045D8">
        <w:rPr>
          <w:rFonts w:ascii="Arial" w:hAnsi="Arial" w:cs="Arial"/>
          <w:lang w:val="en-GB"/>
        </w:rPr>
        <w:t>;</w:t>
      </w:r>
    </w:p>
    <w:p w14:paraId="5C97A74E" w14:textId="4A281189" w:rsidR="00503094" w:rsidRPr="00485454" w:rsidRDefault="00D67BE6" w:rsidP="00E43662">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Benchmarking of the criteria of efficiency and effectiveness of the subvention projects via comparative analysis and application of objective mechanisms of evaluation</w:t>
      </w:r>
      <w:r w:rsidR="00944715" w:rsidRPr="00485454">
        <w:rPr>
          <w:rFonts w:ascii="Arial" w:hAnsi="Arial" w:cs="Arial"/>
          <w:lang w:val="en-GB"/>
        </w:rPr>
        <w:t xml:space="preserve"> to minimise subjective project awards</w:t>
      </w:r>
      <w:r w:rsidR="003045D8">
        <w:rPr>
          <w:rFonts w:ascii="Arial" w:hAnsi="Arial" w:cs="Arial"/>
          <w:lang w:val="en-GB"/>
        </w:rPr>
        <w:t>;</w:t>
      </w:r>
    </w:p>
    <w:p w14:paraId="6D8D0DA4" w14:textId="7E35993F" w:rsidR="00050762" w:rsidRPr="00485454" w:rsidRDefault="00D67BE6" w:rsidP="00E43662">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Training workshops for the respective departments of MTAI in managing the new concept of subvention management</w:t>
      </w:r>
      <w:r w:rsidR="003045D8">
        <w:rPr>
          <w:rFonts w:ascii="Arial" w:hAnsi="Arial" w:cs="Arial"/>
          <w:lang w:val="en-GB"/>
        </w:rPr>
        <w:t>;</w:t>
      </w:r>
    </w:p>
    <w:p w14:paraId="743A6DF9" w14:textId="6944F5FA" w:rsidR="00050762" w:rsidRPr="00485454" w:rsidRDefault="00D67BE6" w:rsidP="00E43662">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 xml:space="preserve">Development of draft </w:t>
      </w:r>
      <w:r w:rsidR="00072900" w:rsidRPr="00485454">
        <w:rPr>
          <w:rFonts w:ascii="Arial" w:hAnsi="Arial" w:cs="Arial"/>
          <w:lang w:val="en-GB"/>
        </w:rPr>
        <w:t xml:space="preserve">template </w:t>
      </w:r>
      <w:r w:rsidRPr="00485454">
        <w:rPr>
          <w:rFonts w:ascii="Arial" w:hAnsi="Arial" w:cs="Arial"/>
          <w:lang w:val="en-GB"/>
        </w:rPr>
        <w:t>for approval by the MTAI to structure the project proposal writing, approval and evaluation</w:t>
      </w:r>
      <w:r w:rsidR="00944715" w:rsidRPr="00485454">
        <w:rPr>
          <w:rFonts w:ascii="Arial" w:hAnsi="Arial" w:cs="Arial"/>
          <w:lang w:val="en-GB"/>
        </w:rPr>
        <w:t>, with minimised paperwork</w:t>
      </w:r>
      <w:r w:rsidR="003045D8">
        <w:rPr>
          <w:rFonts w:ascii="Arial" w:hAnsi="Arial" w:cs="Arial"/>
          <w:lang w:val="en-GB"/>
        </w:rPr>
        <w:t>;</w:t>
      </w:r>
    </w:p>
    <w:p w14:paraId="034D971B" w14:textId="159D6DD6" w:rsidR="00D67BE6" w:rsidRPr="00485454" w:rsidRDefault="00D67BE6" w:rsidP="00E43662">
      <w:pPr>
        <w:pStyle w:val="Listenabsatz"/>
        <w:numPr>
          <w:ilvl w:val="1"/>
          <w:numId w:val="38"/>
        </w:numPr>
        <w:spacing w:after="0"/>
        <w:ind w:left="714" w:hanging="357"/>
        <w:contextualSpacing w:val="0"/>
        <w:jc w:val="both"/>
        <w:rPr>
          <w:rFonts w:ascii="Arial" w:hAnsi="Arial" w:cs="Arial"/>
          <w:lang w:val="en-GB"/>
        </w:rPr>
      </w:pPr>
      <w:r w:rsidRPr="05FC6599">
        <w:rPr>
          <w:rFonts w:ascii="Arial" w:hAnsi="Arial" w:cs="Arial"/>
          <w:lang w:val="en-GB"/>
        </w:rPr>
        <w:t xml:space="preserve">Design a system of rapid analyses </w:t>
      </w:r>
      <w:r w:rsidR="18FCEFB2" w:rsidRPr="05FC6599">
        <w:rPr>
          <w:rFonts w:ascii="Arial" w:hAnsi="Arial" w:cs="Arial"/>
          <w:lang w:val="en-GB"/>
        </w:rPr>
        <w:t>to qualify eligibility of project proposals</w:t>
      </w:r>
      <w:r w:rsidRPr="05FC6599">
        <w:rPr>
          <w:rFonts w:ascii="Arial" w:hAnsi="Arial" w:cs="Arial"/>
          <w:lang w:val="en-GB"/>
        </w:rPr>
        <w:t xml:space="preserve"> </w:t>
      </w:r>
      <w:r w:rsidR="3670155A" w:rsidRPr="05FC6599">
        <w:rPr>
          <w:rFonts w:ascii="Arial" w:hAnsi="Arial" w:cs="Arial"/>
          <w:lang w:val="en-GB"/>
        </w:rPr>
        <w:t>for the revised appraisal system</w:t>
      </w:r>
      <w:r w:rsidR="00395374" w:rsidRPr="05FC6599">
        <w:rPr>
          <w:rFonts w:ascii="Arial" w:hAnsi="Arial" w:cs="Arial"/>
          <w:lang w:val="en-GB"/>
        </w:rPr>
        <w:t>, e.g., through a pre-filter</w:t>
      </w:r>
      <w:r w:rsidR="003045D8">
        <w:rPr>
          <w:rFonts w:ascii="Arial" w:hAnsi="Arial" w:cs="Arial"/>
          <w:lang w:val="en-GB"/>
        </w:rPr>
        <w:t>;</w:t>
      </w:r>
    </w:p>
    <w:p w14:paraId="0BA31DE6" w14:textId="538B6170" w:rsidR="00D67BE6" w:rsidRPr="00485454" w:rsidRDefault="00944715" w:rsidP="00E43662">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Design of a list of efficiency indicators to guide the project proposal process in the phase of elaboration</w:t>
      </w:r>
      <w:r w:rsidR="003045D8">
        <w:rPr>
          <w:rFonts w:ascii="Arial" w:hAnsi="Arial" w:cs="Arial"/>
          <w:lang w:val="en-GB"/>
        </w:rPr>
        <w:t>;</w:t>
      </w:r>
    </w:p>
    <w:p w14:paraId="01B775D4" w14:textId="1C505BC9" w:rsidR="00FA1536" w:rsidRPr="00485454" w:rsidRDefault="00944715" w:rsidP="000C05D9">
      <w:pPr>
        <w:pStyle w:val="Listenabsatz"/>
        <w:numPr>
          <w:ilvl w:val="1"/>
          <w:numId w:val="38"/>
        </w:numPr>
        <w:spacing w:after="0"/>
        <w:ind w:left="714" w:hanging="357"/>
        <w:contextualSpacing w:val="0"/>
        <w:jc w:val="both"/>
        <w:rPr>
          <w:rFonts w:ascii="Arial" w:hAnsi="Arial" w:cs="Arial"/>
          <w:lang w:val="en-GB"/>
        </w:rPr>
      </w:pPr>
      <w:r w:rsidRPr="00485454">
        <w:rPr>
          <w:rFonts w:ascii="Arial" w:hAnsi="Arial" w:cs="Arial"/>
          <w:lang w:val="en-GB"/>
        </w:rPr>
        <w:t>Design of a system of entry, analysis and surveillance of monitoring indicators within the developed framework</w:t>
      </w:r>
      <w:r w:rsidR="00280AD3" w:rsidRPr="00485454">
        <w:rPr>
          <w:rFonts w:ascii="Arial" w:hAnsi="Arial" w:cs="Arial"/>
          <w:lang w:val="en-GB"/>
        </w:rPr>
        <w:t>.</w:t>
      </w:r>
    </w:p>
    <w:p w14:paraId="40A9A79C" w14:textId="31C05C88" w:rsidR="00962429" w:rsidRPr="00485454" w:rsidRDefault="00962429" w:rsidP="6D13DA79">
      <w:pPr>
        <w:pStyle w:val="Listenabsatz"/>
        <w:numPr>
          <w:ilvl w:val="0"/>
          <w:numId w:val="25"/>
        </w:numPr>
        <w:spacing w:before="240" w:after="120"/>
        <w:ind w:left="714" w:hanging="357"/>
        <w:contextualSpacing w:val="0"/>
        <w:jc w:val="both"/>
        <w:rPr>
          <w:rFonts w:ascii="Arial" w:hAnsi="Arial" w:cs="Arial"/>
          <w:b/>
          <w:bCs/>
          <w:lang w:val="en-GB"/>
        </w:rPr>
      </w:pPr>
      <w:r w:rsidRPr="05FC6599">
        <w:rPr>
          <w:rFonts w:ascii="Arial" w:hAnsi="Arial" w:cs="Arial"/>
          <w:b/>
          <w:bCs/>
          <w:lang w:val="en-GB"/>
        </w:rPr>
        <w:lastRenderedPageBreak/>
        <w:t>Deliverables</w:t>
      </w:r>
    </w:p>
    <w:p w14:paraId="407435BC" w14:textId="2FB6AC5F" w:rsidR="00FA1536" w:rsidRPr="00485454" w:rsidRDefault="00FA1536" w:rsidP="00962429">
      <w:pPr>
        <w:jc w:val="both"/>
        <w:rPr>
          <w:rFonts w:cs="Arial"/>
          <w:lang w:val="en-GB"/>
        </w:rPr>
      </w:pPr>
      <w:r w:rsidRPr="00485454">
        <w:rPr>
          <w:rFonts w:cs="Arial"/>
          <w:lang w:val="en-GB"/>
        </w:rPr>
        <w:t xml:space="preserve">The following deliverables are expected as per </w:t>
      </w:r>
      <w:r w:rsidR="00556C6E" w:rsidRPr="00485454">
        <w:rPr>
          <w:rFonts w:cs="Arial"/>
          <w:lang w:val="en-GB"/>
        </w:rPr>
        <w:t>t</w:t>
      </w:r>
      <w:r w:rsidRPr="00485454">
        <w:rPr>
          <w:rFonts w:cs="Arial"/>
          <w:lang w:val="en-GB"/>
        </w:rPr>
        <w:t>asks throughout the implementation of the assignment and are to be submitted in electronic form to</w:t>
      </w:r>
      <w:r w:rsidR="00223C45" w:rsidRPr="00485454">
        <w:rPr>
          <w:rFonts w:cs="Arial"/>
          <w:lang w:val="en-GB"/>
        </w:rPr>
        <w:t xml:space="preserve"> </w:t>
      </w:r>
      <w:r w:rsidR="002C2211" w:rsidRPr="00485454">
        <w:rPr>
          <w:rFonts w:cs="Arial"/>
          <w:lang w:val="en-GB"/>
        </w:rPr>
        <w:t xml:space="preserve">the Programme </w:t>
      </w:r>
      <w:r w:rsidRPr="00485454">
        <w:rPr>
          <w:rFonts w:cs="Arial"/>
          <w:lang w:val="en-GB"/>
        </w:rPr>
        <w:t xml:space="preserve">according to the schedule presented in the section </w:t>
      </w:r>
      <w:r w:rsidR="00485454" w:rsidRPr="00485454">
        <w:rPr>
          <w:rFonts w:cs="Arial"/>
          <w:lang w:val="en-GB"/>
        </w:rPr>
        <w:t>6</w:t>
      </w:r>
      <w:r w:rsidRPr="00485454">
        <w:rPr>
          <w:rFonts w:cs="Arial"/>
          <w:lang w:val="en-GB"/>
        </w:rPr>
        <w:t xml:space="preserve"> of the</w:t>
      </w:r>
      <w:r w:rsidR="00485454" w:rsidRPr="00485454">
        <w:rPr>
          <w:rFonts w:cs="Arial"/>
          <w:lang w:val="en-GB"/>
        </w:rPr>
        <w:t>se</w:t>
      </w:r>
      <w:r w:rsidRPr="00485454">
        <w:rPr>
          <w:rFonts w:cs="Arial"/>
          <w:lang w:val="en-GB"/>
        </w:rPr>
        <w:t xml:space="preserve"> Terms of Reference.</w:t>
      </w:r>
    </w:p>
    <w:p w14:paraId="2FF0B656" w14:textId="77777777" w:rsidR="00FA1536" w:rsidRPr="00485454" w:rsidRDefault="00FA1536" w:rsidP="00962429">
      <w:pPr>
        <w:jc w:val="both"/>
        <w:rPr>
          <w:rFonts w:cs="Arial"/>
          <w:lang w:val="en-GB"/>
        </w:rPr>
      </w:pPr>
    </w:p>
    <w:p w14:paraId="1F6B27C2" w14:textId="0E34DF0C" w:rsidR="00FA1536" w:rsidRPr="00485454" w:rsidRDefault="00FA1536" w:rsidP="002B1BD0">
      <w:pPr>
        <w:spacing w:after="120"/>
        <w:jc w:val="both"/>
        <w:rPr>
          <w:rFonts w:cs="Arial"/>
          <w:b/>
          <w:lang w:val="en-GB"/>
        </w:rPr>
      </w:pPr>
      <w:r w:rsidRPr="00485454">
        <w:rPr>
          <w:rFonts w:cs="Arial"/>
          <w:b/>
          <w:lang w:val="en-GB"/>
        </w:rPr>
        <w:t>Preparation phase:</w:t>
      </w:r>
    </w:p>
    <w:p w14:paraId="24832586" w14:textId="330195A0" w:rsidR="00962429" w:rsidRPr="00485454" w:rsidRDefault="00962429" w:rsidP="00FA1536">
      <w:pPr>
        <w:pStyle w:val="Listenabsatz"/>
        <w:numPr>
          <w:ilvl w:val="0"/>
          <w:numId w:val="33"/>
        </w:numPr>
        <w:jc w:val="both"/>
        <w:rPr>
          <w:rFonts w:ascii="Arial" w:hAnsi="Arial" w:cs="Arial"/>
          <w:lang w:val="en-GB"/>
        </w:rPr>
      </w:pPr>
      <w:r w:rsidRPr="00485454">
        <w:rPr>
          <w:rFonts w:ascii="Arial" w:hAnsi="Arial" w:cs="Arial"/>
          <w:lang w:val="en-GB"/>
        </w:rPr>
        <w:t>Detailed Work Plan for the overall assignment</w:t>
      </w:r>
      <w:r w:rsidR="00FA1536" w:rsidRPr="00485454">
        <w:rPr>
          <w:rFonts w:ascii="Arial" w:hAnsi="Arial" w:cs="Arial"/>
          <w:lang w:val="en-GB"/>
        </w:rPr>
        <w:t xml:space="preserve"> </w:t>
      </w:r>
    </w:p>
    <w:p w14:paraId="49D5755C" w14:textId="0B208098" w:rsidR="00556C6E" w:rsidRPr="00485454" w:rsidRDefault="00556C6E" w:rsidP="002B1BD0">
      <w:pPr>
        <w:spacing w:after="120"/>
        <w:jc w:val="both"/>
        <w:rPr>
          <w:rFonts w:cs="Arial"/>
          <w:b/>
          <w:lang w:val="en-GB"/>
        </w:rPr>
      </w:pPr>
      <w:r w:rsidRPr="00485454">
        <w:rPr>
          <w:rFonts w:cs="Arial"/>
          <w:b/>
          <w:lang w:val="en-GB"/>
        </w:rPr>
        <w:t>As per Task 1:</w:t>
      </w:r>
    </w:p>
    <w:p w14:paraId="128AB098" w14:textId="04EF5FBC" w:rsidR="005076F1" w:rsidRDefault="009C5F65" w:rsidP="00556C6E">
      <w:pPr>
        <w:pStyle w:val="Listenabsatz"/>
        <w:numPr>
          <w:ilvl w:val="0"/>
          <w:numId w:val="33"/>
        </w:numPr>
        <w:jc w:val="both"/>
        <w:rPr>
          <w:rFonts w:ascii="Arial" w:hAnsi="Arial" w:cs="Arial"/>
          <w:lang w:val="en-GB"/>
        </w:rPr>
      </w:pPr>
      <w:r>
        <w:rPr>
          <w:rFonts w:ascii="Arial" w:hAnsi="Arial" w:cs="Arial"/>
          <w:lang w:val="en-GB"/>
        </w:rPr>
        <w:t>P</w:t>
      </w:r>
      <w:r w:rsidR="00CF537D">
        <w:rPr>
          <w:rFonts w:ascii="Arial" w:hAnsi="Arial" w:cs="Arial"/>
          <w:lang w:val="en-GB"/>
        </w:rPr>
        <w:t>r</w:t>
      </w:r>
      <w:r>
        <w:rPr>
          <w:rFonts w:ascii="Arial" w:hAnsi="Arial" w:cs="Arial"/>
          <w:lang w:val="en-GB"/>
        </w:rPr>
        <w:t>oposal</w:t>
      </w:r>
      <w:r w:rsidR="005076F1">
        <w:rPr>
          <w:rFonts w:ascii="Arial" w:hAnsi="Arial" w:cs="Arial"/>
          <w:lang w:val="en-GB"/>
        </w:rPr>
        <w:t xml:space="preserve"> of</w:t>
      </w:r>
      <w:r>
        <w:rPr>
          <w:rFonts w:ascii="Arial" w:hAnsi="Arial" w:cs="Arial"/>
          <w:lang w:val="en-GB"/>
        </w:rPr>
        <w:t xml:space="preserve"> target-specific approaches to identify, address, mobilize and actively include various stakeholder-groups in LED-planning and implementation</w:t>
      </w:r>
    </w:p>
    <w:p w14:paraId="1D041E32" w14:textId="4F307F26" w:rsidR="00556C6E" w:rsidRPr="00485454" w:rsidRDefault="00556C6E" w:rsidP="00556C6E">
      <w:pPr>
        <w:pStyle w:val="Listenabsatz"/>
        <w:numPr>
          <w:ilvl w:val="0"/>
          <w:numId w:val="33"/>
        </w:numPr>
        <w:jc w:val="both"/>
        <w:rPr>
          <w:rFonts w:ascii="Arial" w:hAnsi="Arial" w:cs="Arial"/>
          <w:lang w:val="en-GB"/>
        </w:rPr>
      </w:pPr>
      <w:r w:rsidRPr="00485454">
        <w:rPr>
          <w:rFonts w:ascii="Arial" w:hAnsi="Arial" w:cs="Arial"/>
          <w:lang w:val="en-GB"/>
        </w:rPr>
        <w:t xml:space="preserve">Agenda of 3-day </w:t>
      </w:r>
      <w:r w:rsidR="00993930" w:rsidRPr="00485454">
        <w:rPr>
          <w:rFonts w:ascii="Arial" w:hAnsi="Arial" w:cs="Arial"/>
          <w:lang w:val="en-GB"/>
        </w:rPr>
        <w:t>workshops</w:t>
      </w:r>
      <w:r w:rsidRPr="00485454">
        <w:rPr>
          <w:rFonts w:ascii="Arial" w:hAnsi="Arial" w:cs="Arial"/>
          <w:lang w:val="en-GB"/>
        </w:rPr>
        <w:t xml:space="preserve"> on designing LED </w:t>
      </w:r>
      <w:r w:rsidR="00DC5759" w:rsidRPr="00485454">
        <w:rPr>
          <w:rFonts w:ascii="Arial" w:hAnsi="Arial" w:cs="Arial"/>
          <w:lang w:val="en-GB"/>
        </w:rPr>
        <w:t>plans</w:t>
      </w:r>
      <w:r w:rsidR="00483058" w:rsidRPr="00485454">
        <w:rPr>
          <w:rFonts w:ascii="Arial" w:hAnsi="Arial" w:cs="Arial"/>
          <w:lang w:val="en-GB"/>
        </w:rPr>
        <w:t xml:space="preserve"> and </w:t>
      </w:r>
      <w:r w:rsidR="005806F0" w:rsidRPr="00485454">
        <w:rPr>
          <w:rFonts w:ascii="Arial" w:hAnsi="Arial" w:cs="Arial"/>
          <w:lang w:val="en-GB"/>
        </w:rPr>
        <w:t>project proposals</w:t>
      </w:r>
      <w:r w:rsidR="00485454" w:rsidRPr="00485454">
        <w:rPr>
          <w:rFonts w:ascii="Arial" w:hAnsi="Arial" w:cs="Arial"/>
          <w:lang w:val="en-GB"/>
        </w:rPr>
        <w:t>;</w:t>
      </w:r>
    </w:p>
    <w:p w14:paraId="55C2C987" w14:textId="4390A588" w:rsidR="00993930" w:rsidRPr="002071BE" w:rsidRDefault="00993930" w:rsidP="00556C6E">
      <w:pPr>
        <w:pStyle w:val="Listenabsatz"/>
        <w:numPr>
          <w:ilvl w:val="0"/>
          <w:numId w:val="33"/>
        </w:numPr>
        <w:jc w:val="both"/>
        <w:rPr>
          <w:rFonts w:ascii="Arial" w:hAnsi="Arial" w:cs="Arial"/>
          <w:lang w:val="en-GB"/>
        </w:rPr>
      </w:pPr>
      <w:r w:rsidRPr="002071BE">
        <w:rPr>
          <w:rFonts w:ascii="Arial" w:hAnsi="Arial" w:cs="Arial"/>
          <w:lang w:val="en-GB"/>
        </w:rPr>
        <w:t xml:space="preserve">Schedule of workshops for </w:t>
      </w:r>
      <w:r w:rsidR="00DC5759" w:rsidRPr="002071BE">
        <w:rPr>
          <w:rFonts w:ascii="Arial" w:hAnsi="Arial" w:cs="Arial"/>
          <w:lang w:val="en-GB"/>
        </w:rPr>
        <w:t xml:space="preserve">34 </w:t>
      </w:r>
      <w:r w:rsidRPr="002071BE">
        <w:rPr>
          <w:rFonts w:ascii="Arial" w:hAnsi="Arial" w:cs="Arial"/>
          <w:lang w:val="en-GB"/>
        </w:rPr>
        <w:t>municipalities</w:t>
      </w:r>
      <w:r w:rsidR="00485454" w:rsidRPr="002071BE">
        <w:rPr>
          <w:rFonts w:ascii="Arial" w:hAnsi="Arial" w:cs="Arial"/>
          <w:lang w:val="en-GB"/>
        </w:rPr>
        <w:t>;</w:t>
      </w:r>
    </w:p>
    <w:p w14:paraId="1F2B1D0A" w14:textId="12E42410" w:rsidR="002071BE" w:rsidRPr="002071BE" w:rsidRDefault="002071BE" w:rsidP="00556C6E">
      <w:pPr>
        <w:pStyle w:val="Listenabsatz"/>
        <w:numPr>
          <w:ilvl w:val="0"/>
          <w:numId w:val="33"/>
        </w:numPr>
        <w:jc w:val="both"/>
        <w:rPr>
          <w:rFonts w:ascii="Arial" w:hAnsi="Arial" w:cs="Arial"/>
          <w:lang w:val="en-GB"/>
        </w:rPr>
      </w:pPr>
      <w:r w:rsidRPr="002071BE">
        <w:rPr>
          <w:rFonts w:ascii="Arial" w:hAnsi="Arial" w:cs="Arial"/>
          <w:sz w:val="20"/>
          <w:lang w:val="en-GB"/>
        </w:rPr>
        <w:t>I</w:t>
      </w:r>
      <w:r w:rsidRPr="00954D9E">
        <w:rPr>
          <w:rFonts w:ascii="Arial" w:eastAsia="Times New Roman" w:hAnsi="Arial" w:cs="Arial"/>
          <w:sz w:val="20"/>
          <w:szCs w:val="20"/>
          <w:lang w:val="en-GB"/>
        </w:rPr>
        <w:t>dentification of target groups specific needs and priorities</w:t>
      </w:r>
      <w:r w:rsidRPr="002071BE">
        <w:rPr>
          <w:rFonts w:ascii="Arial" w:eastAsia="Times New Roman" w:hAnsi="Arial" w:cs="Arial"/>
          <w:sz w:val="20"/>
          <w:szCs w:val="20"/>
          <w:lang w:val="en-GB"/>
        </w:rPr>
        <w:t>;</w:t>
      </w:r>
    </w:p>
    <w:p w14:paraId="42071A7D" w14:textId="2EF16673" w:rsidR="00556C6E" w:rsidRPr="002071BE" w:rsidRDefault="00DC5759" w:rsidP="00556C6E">
      <w:pPr>
        <w:pStyle w:val="Listenabsatz"/>
        <w:numPr>
          <w:ilvl w:val="0"/>
          <w:numId w:val="33"/>
        </w:numPr>
        <w:jc w:val="both"/>
        <w:rPr>
          <w:rFonts w:ascii="Arial" w:hAnsi="Arial" w:cs="Arial"/>
          <w:lang w:val="en-GB"/>
        </w:rPr>
      </w:pPr>
      <w:r w:rsidRPr="002071BE">
        <w:rPr>
          <w:rFonts w:ascii="Arial" w:hAnsi="Arial" w:cs="Arial"/>
          <w:lang w:val="en-GB"/>
        </w:rPr>
        <w:t xml:space="preserve">34 </w:t>
      </w:r>
      <w:r w:rsidR="00556C6E" w:rsidRPr="002071BE">
        <w:rPr>
          <w:rFonts w:ascii="Arial" w:hAnsi="Arial" w:cs="Arial"/>
          <w:lang w:val="en-GB"/>
        </w:rPr>
        <w:t>designed LED Plans</w:t>
      </w:r>
      <w:r w:rsidR="00485454" w:rsidRPr="002071BE">
        <w:rPr>
          <w:rFonts w:ascii="Arial" w:hAnsi="Arial" w:cs="Arial"/>
          <w:lang w:val="en-GB"/>
        </w:rPr>
        <w:t>;</w:t>
      </w:r>
    </w:p>
    <w:p w14:paraId="258FFB56" w14:textId="7DF41BAC" w:rsidR="00556C6E" w:rsidRPr="00485454" w:rsidRDefault="00556C6E" w:rsidP="00556C6E">
      <w:pPr>
        <w:pStyle w:val="Listenabsatz"/>
        <w:numPr>
          <w:ilvl w:val="0"/>
          <w:numId w:val="33"/>
        </w:numPr>
        <w:jc w:val="both"/>
        <w:rPr>
          <w:rFonts w:ascii="Arial" w:hAnsi="Arial" w:cs="Arial"/>
          <w:lang w:val="en-GB"/>
        </w:rPr>
      </w:pPr>
      <w:r w:rsidRPr="002071BE">
        <w:rPr>
          <w:rFonts w:ascii="Arial" w:hAnsi="Arial" w:cs="Arial"/>
          <w:lang w:val="en-GB"/>
        </w:rPr>
        <w:t>Presentation of the results of the trainings (including number of participants, men and women</w:t>
      </w:r>
      <w:r w:rsidR="00DC5759" w:rsidRPr="002071BE">
        <w:rPr>
          <w:rFonts w:ascii="Arial" w:hAnsi="Arial" w:cs="Arial"/>
          <w:lang w:val="en-GB"/>
        </w:rPr>
        <w:t xml:space="preserve"> via signed lists of participants</w:t>
      </w:r>
      <w:r w:rsidRPr="002071BE">
        <w:rPr>
          <w:rFonts w:ascii="Arial" w:hAnsi="Arial" w:cs="Arial"/>
          <w:lang w:val="en-GB"/>
        </w:rPr>
        <w:t xml:space="preserve"> etc</w:t>
      </w:r>
      <w:r w:rsidRPr="00485454">
        <w:rPr>
          <w:rFonts w:ascii="Arial" w:hAnsi="Arial" w:cs="Arial"/>
          <w:lang w:val="en-GB"/>
        </w:rPr>
        <w:t>.)</w:t>
      </w:r>
      <w:r w:rsidR="00485454" w:rsidRPr="00485454">
        <w:rPr>
          <w:rFonts w:ascii="Arial" w:hAnsi="Arial" w:cs="Arial"/>
          <w:lang w:val="en-GB"/>
        </w:rPr>
        <w:t>;</w:t>
      </w:r>
    </w:p>
    <w:p w14:paraId="5448B982" w14:textId="53FB037B" w:rsidR="00556C6E" w:rsidRDefault="00556C6E" w:rsidP="00556C6E">
      <w:pPr>
        <w:pStyle w:val="Listenabsatz"/>
        <w:numPr>
          <w:ilvl w:val="0"/>
          <w:numId w:val="33"/>
        </w:numPr>
        <w:jc w:val="both"/>
        <w:rPr>
          <w:rFonts w:ascii="Arial" w:hAnsi="Arial" w:cs="Arial"/>
          <w:lang w:val="en-GB"/>
        </w:rPr>
      </w:pPr>
      <w:r w:rsidRPr="00485454">
        <w:rPr>
          <w:rFonts w:ascii="Arial" w:hAnsi="Arial" w:cs="Arial"/>
          <w:lang w:val="en-GB"/>
        </w:rPr>
        <w:t xml:space="preserve">At least </w:t>
      </w:r>
      <w:r w:rsidR="00DC5759" w:rsidRPr="00485454">
        <w:rPr>
          <w:rFonts w:ascii="Arial" w:hAnsi="Arial" w:cs="Arial"/>
          <w:lang w:val="en-GB"/>
        </w:rPr>
        <w:t xml:space="preserve">34 </w:t>
      </w:r>
      <w:r w:rsidRPr="00485454">
        <w:rPr>
          <w:rFonts w:ascii="Arial" w:hAnsi="Arial" w:cs="Arial"/>
          <w:lang w:val="en-GB"/>
        </w:rPr>
        <w:t xml:space="preserve">project proposals for subventions </w:t>
      </w:r>
      <w:r w:rsidR="00487330" w:rsidRPr="00485454">
        <w:rPr>
          <w:rFonts w:ascii="Arial" w:hAnsi="Arial" w:cs="Arial"/>
          <w:lang w:val="en-GB"/>
        </w:rPr>
        <w:t xml:space="preserve">and/or other sources of government funding </w:t>
      </w:r>
      <w:r w:rsidRPr="00485454">
        <w:rPr>
          <w:rFonts w:ascii="Arial" w:hAnsi="Arial" w:cs="Arial"/>
          <w:lang w:val="en-GB"/>
        </w:rPr>
        <w:t>(information on the share of approved project proposals will be communicated to GGLD in due time)</w:t>
      </w:r>
      <w:r w:rsidR="00485454" w:rsidRPr="00485454">
        <w:rPr>
          <w:rFonts w:ascii="Arial" w:hAnsi="Arial" w:cs="Arial"/>
          <w:lang w:val="en-GB"/>
        </w:rPr>
        <w:t>;</w:t>
      </w:r>
    </w:p>
    <w:p w14:paraId="5FC1666A" w14:textId="1A58AF8A" w:rsidR="005076F1" w:rsidRPr="00485454" w:rsidRDefault="002071BE" w:rsidP="00556C6E">
      <w:pPr>
        <w:pStyle w:val="Listenabsatz"/>
        <w:numPr>
          <w:ilvl w:val="0"/>
          <w:numId w:val="33"/>
        </w:numPr>
        <w:jc w:val="both"/>
        <w:rPr>
          <w:rFonts w:ascii="Arial" w:hAnsi="Arial" w:cs="Arial"/>
          <w:lang w:val="en-GB"/>
        </w:rPr>
      </w:pPr>
      <w:r>
        <w:rPr>
          <w:rFonts w:ascii="Arial" w:hAnsi="Arial" w:cs="Arial"/>
          <w:lang w:val="en-GB"/>
        </w:rPr>
        <w:t>Identification of at</w:t>
      </w:r>
      <w:r w:rsidR="005076F1">
        <w:rPr>
          <w:rFonts w:ascii="Arial" w:hAnsi="Arial" w:cs="Arial"/>
          <w:lang w:val="en-GB"/>
        </w:rPr>
        <w:t xml:space="preserve"> least 34 project proposals which will be implemented by the community (municipality and/or groups of the population) with their own resources</w:t>
      </w:r>
    </w:p>
    <w:p w14:paraId="05018F9D" w14:textId="6FB9657F" w:rsidR="00556C6E" w:rsidRPr="00485454" w:rsidRDefault="00556C6E" w:rsidP="00556C6E">
      <w:pPr>
        <w:pStyle w:val="Listenabsatz"/>
        <w:numPr>
          <w:ilvl w:val="0"/>
          <w:numId w:val="33"/>
        </w:numPr>
        <w:jc w:val="both"/>
        <w:rPr>
          <w:rFonts w:ascii="Arial" w:hAnsi="Arial" w:cs="Arial"/>
          <w:lang w:val="en-GB"/>
        </w:rPr>
      </w:pPr>
      <w:r w:rsidRPr="00485454">
        <w:rPr>
          <w:rFonts w:ascii="Arial" w:hAnsi="Arial" w:cs="Arial"/>
          <w:lang w:val="en-GB"/>
        </w:rPr>
        <w:t>Aggregate and specific information on environmentally sustainable LED measures stipulated in the AWPs of consolidated LSGs</w:t>
      </w:r>
      <w:r w:rsidR="009E4ED4" w:rsidRPr="00485454">
        <w:rPr>
          <w:rFonts w:ascii="Arial" w:hAnsi="Arial" w:cs="Arial"/>
          <w:lang w:val="en-GB"/>
        </w:rPr>
        <w:t>.</w:t>
      </w:r>
    </w:p>
    <w:p w14:paraId="4F8820C0" w14:textId="64DC034A" w:rsidR="00FA1536" w:rsidRPr="00485454" w:rsidRDefault="00FA1536" w:rsidP="002B1BD0">
      <w:pPr>
        <w:spacing w:after="120"/>
        <w:jc w:val="both"/>
        <w:rPr>
          <w:rFonts w:cs="Arial"/>
          <w:b/>
          <w:lang w:val="en-GB"/>
        </w:rPr>
      </w:pPr>
      <w:r w:rsidRPr="00485454">
        <w:rPr>
          <w:rFonts w:cs="Arial"/>
          <w:b/>
          <w:lang w:val="en-GB"/>
        </w:rPr>
        <w:t xml:space="preserve">As per Task </w:t>
      </w:r>
      <w:r w:rsidR="00993930" w:rsidRPr="00485454">
        <w:rPr>
          <w:rFonts w:cs="Arial"/>
          <w:b/>
          <w:lang w:val="en-GB"/>
        </w:rPr>
        <w:t>2</w:t>
      </w:r>
      <w:r w:rsidRPr="00485454">
        <w:rPr>
          <w:rFonts w:cs="Arial"/>
          <w:b/>
          <w:lang w:val="en-GB"/>
        </w:rPr>
        <w:t>:</w:t>
      </w:r>
    </w:p>
    <w:p w14:paraId="581DD002" w14:textId="15745F66" w:rsidR="00993930" w:rsidRDefault="00993930" w:rsidP="00993930">
      <w:pPr>
        <w:pStyle w:val="Listenabsatz"/>
        <w:numPr>
          <w:ilvl w:val="0"/>
          <w:numId w:val="33"/>
        </w:numPr>
        <w:jc w:val="both"/>
        <w:rPr>
          <w:rFonts w:ascii="Arial" w:hAnsi="Arial" w:cs="Arial"/>
          <w:lang w:val="en-GB"/>
        </w:rPr>
      </w:pPr>
      <w:r w:rsidRPr="05FC6599">
        <w:rPr>
          <w:rFonts w:ascii="Arial" w:hAnsi="Arial" w:cs="Arial"/>
          <w:lang w:val="en-GB"/>
        </w:rPr>
        <w:t>Results of piloting the BFC approach in 1</w:t>
      </w:r>
      <w:r w:rsidR="00DC5759" w:rsidRPr="05FC6599">
        <w:rPr>
          <w:rFonts w:ascii="Arial" w:hAnsi="Arial" w:cs="Arial"/>
          <w:lang w:val="en-GB"/>
        </w:rPr>
        <w:t>5</w:t>
      </w:r>
      <w:r w:rsidRPr="05FC6599">
        <w:rPr>
          <w:rFonts w:ascii="Arial" w:hAnsi="Arial" w:cs="Arial"/>
          <w:lang w:val="en-GB"/>
        </w:rPr>
        <w:t xml:space="preserve"> municipalities</w:t>
      </w:r>
      <w:r w:rsidR="1435AF57" w:rsidRPr="05FC6599">
        <w:rPr>
          <w:rFonts w:ascii="Arial" w:hAnsi="Arial" w:cs="Arial"/>
          <w:lang w:val="en-GB"/>
        </w:rPr>
        <w:t xml:space="preserve"> (five others done under the previous assignment)</w:t>
      </w:r>
      <w:r w:rsidR="00485454" w:rsidRPr="05FC6599">
        <w:rPr>
          <w:rFonts w:ascii="Arial" w:hAnsi="Arial" w:cs="Arial"/>
          <w:lang w:val="en-GB"/>
        </w:rPr>
        <w:t>, as well as summary reports on the piloting results in these 15 municipalities and the 5 municipalities already covered in 2020;</w:t>
      </w:r>
    </w:p>
    <w:p w14:paraId="2C7C84DA" w14:textId="4F7F1843" w:rsidR="005076F1" w:rsidRPr="00485454" w:rsidRDefault="005076F1" w:rsidP="00993930">
      <w:pPr>
        <w:pStyle w:val="Listenabsatz"/>
        <w:numPr>
          <w:ilvl w:val="0"/>
          <w:numId w:val="33"/>
        </w:numPr>
        <w:jc w:val="both"/>
        <w:rPr>
          <w:rFonts w:ascii="Arial" w:hAnsi="Arial" w:cs="Arial"/>
          <w:lang w:val="en-GB"/>
        </w:rPr>
      </w:pPr>
      <w:r>
        <w:rPr>
          <w:rFonts w:ascii="Arial" w:hAnsi="Arial" w:cs="Arial"/>
          <w:lang w:val="en-GB"/>
        </w:rPr>
        <w:t>Recommendations to MRDI what has to be done by other levels or units of the government in order to enable communities to perform according to the BFC-</w:t>
      </w:r>
      <w:r w:rsidR="00867A91">
        <w:rPr>
          <w:rFonts w:ascii="Arial" w:hAnsi="Arial" w:cs="Arial"/>
          <w:lang w:val="en-GB"/>
        </w:rPr>
        <w:t>criteria</w:t>
      </w:r>
    </w:p>
    <w:p w14:paraId="1DE4AAF6" w14:textId="788A5184" w:rsidR="00993930" w:rsidRPr="00485454" w:rsidRDefault="00993930" w:rsidP="00993930">
      <w:pPr>
        <w:pStyle w:val="Listenabsatz"/>
        <w:numPr>
          <w:ilvl w:val="0"/>
          <w:numId w:val="33"/>
        </w:numPr>
        <w:jc w:val="both"/>
        <w:rPr>
          <w:rFonts w:ascii="Arial" w:hAnsi="Arial" w:cs="Arial"/>
          <w:lang w:val="en-GB"/>
        </w:rPr>
      </w:pPr>
      <w:r w:rsidRPr="00485454">
        <w:rPr>
          <w:rFonts w:ascii="Arial" w:hAnsi="Arial" w:cs="Arial"/>
          <w:lang w:val="en-GB"/>
        </w:rPr>
        <w:t>Stock taking/inventory of existing methodologies, processes and tools available to LED</w:t>
      </w:r>
      <w:r w:rsidR="00485454" w:rsidRPr="00485454">
        <w:rPr>
          <w:rFonts w:ascii="Arial" w:hAnsi="Arial" w:cs="Arial"/>
          <w:lang w:val="en-GB"/>
        </w:rPr>
        <w:t>;</w:t>
      </w:r>
    </w:p>
    <w:p w14:paraId="6DCCE730" w14:textId="3167C0D7" w:rsidR="00993930" w:rsidRPr="00485454" w:rsidRDefault="00993930" w:rsidP="00993930">
      <w:pPr>
        <w:pStyle w:val="Listenabsatz"/>
        <w:numPr>
          <w:ilvl w:val="0"/>
          <w:numId w:val="33"/>
        </w:numPr>
        <w:jc w:val="both"/>
        <w:rPr>
          <w:rFonts w:ascii="Arial" w:hAnsi="Arial" w:cs="Arial"/>
          <w:lang w:val="en-GB"/>
        </w:rPr>
      </w:pPr>
      <w:r w:rsidRPr="00485454">
        <w:rPr>
          <w:rFonts w:ascii="Arial" w:hAnsi="Arial" w:cs="Arial"/>
          <w:lang w:val="en-GB"/>
        </w:rPr>
        <w:t xml:space="preserve">Training needs assessment for LED </w:t>
      </w:r>
      <w:r w:rsidR="00DC5759" w:rsidRPr="00485454">
        <w:rPr>
          <w:rFonts w:ascii="Arial" w:hAnsi="Arial" w:cs="Arial"/>
          <w:lang w:val="en-GB"/>
        </w:rPr>
        <w:t>officers</w:t>
      </w:r>
      <w:r w:rsidR="00485ED3">
        <w:rPr>
          <w:rStyle w:val="Funotenzeichen"/>
          <w:rFonts w:ascii="Arial" w:hAnsi="Arial" w:cs="Arial"/>
          <w:lang w:val="en-GB"/>
        </w:rPr>
        <w:footnoteReference w:id="6"/>
      </w:r>
      <w:r w:rsidR="00DC5759" w:rsidRPr="00485454">
        <w:rPr>
          <w:rFonts w:ascii="Arial" w:hAnsi="Arial" w:cs="Arial"/>
          <w:lang w:val="en-GB"/>
        </w:rPr>
        <w:t xml:space="preserve"> across the country</w:t>
      </w:r>
      <w:r w:rsidR="00485454" w:rsidRPr="00485454">
        <w:rPr>
          <w:rFonts w:ascii="Arial" w:hAnsi="Arial" w:cs="Arial"/>
          <w:lang w:val="en-GB"/>
        </w:rPr>
        <w:t>;</w:t>
      </w:r>
    </w:p>
    <w:p w14:paraId="4A497DB6" w14:textId="0320C7BB" w:rsidR="00962429" w:rsidRPr="00485454" w:rsidRDefault="00FA1536" w:rsidP="00FA1536">
      <w:pPr>
        <w:pStyle w:val="Listenabsatz"/>
        <w:numPr>
          <w:ilvl w:val="0"/>
          <w:numId w:val="33"/>
        </w:numPr>
        <w:jc w:val="both"/>
        <w:rPr>
          <w:rFonts w:ascii="Arial" w:hAnsi="Arial" w:cs="Arial"/>
          <w:lang w:val="en-GB"/>
        </w:rPr>
      </w:pPr>
      <w:r w:rsidRPr="00485454">
        <w:rPr>
          <w:rFonts w:ascii="Arial" w:hAnsi="Arial" w:cs="Arial"/>
          <w:lang w:val="en-GB"/>
        </w:rPr>
        <w:t>Agenda of the two-day training of LED Core Group</w:t>
      </w:r>
      <w:r w:rsidR="42DC4880" w:rsidRPr="00485454">
        <w:rPr>
          <w:rFonts w:ascii="Arial" w:hAnsi="Arial" w:cs="Arial"/>
          <w:lang w:val="en-GB"/>
        </w:rPr>
        <w:t xml:space="preserve"> (up to 18 people)</w:t>
      </w:r>
      <w:r w:rsidRPr="00485454">
        <w:rPr>
          <w:rFonts w:ascii="Arial" w:hAnsi="Arial" w:cs="Arial"/>
          <w:lang w:val="en-GB"/>
        </w:rPr>
        <w:t xml:space="preserve"> </w:t>
      </w:r>
      <w:r w:rsidR="00DC5759" w:rsidRPr="00485454">
        <w:rPr>
          <w:rFonts w:ascii="Arial" w:hAnsi="Arial" w:cs="Arial"/>
          <w:lang w:val="en-GB"/>
        </w:rPr>
        <w:t>in appraisal of project proposals</w:t>
      </w:r>
      <w:r w:rsidR="00485454" w:rsidRPr="00485454">
        <w:rPr>
          <w:rFonts w:ascii="Arial" w:hAnsi="Arial" w:cs="Arial"/>
          <w:lang w:val="en-GB"/>
        </w:rPr>
        <w:t>;</w:t>
      </w:r>
    </w:p>
    <w:p w14:paraId="6F8C3F04" w14:textId="1B9B0204" w:rsidR="00FA1536" w:rsidRPr="00485454" w:rsidRDefault="00DC5759" w:rsidP="00FA1536">
      <w:pPr>
        <w:pStyle w:val="Listenabsatz"/>
        <w:numPr>
          <w:ilvl w:val="0"/>
          <w:numId w:val="33"/>
        </w:numPr>
        <w:jc w:val="both"/>
        <w:rPr>
          <w:rFonts w:ascii="Arial" w:hAnsi="Arial" w:cs="Arial"/>
          <w:lang w:val="en-GB"/>
        </w:rPr>
      </w:pPr>
      <w:r w:rsidRPr="00485454">
        <w:rPr>
          <w:rFonts w:ascii="Arial" w:hAnsi="Arial" w:cs="Arial"/>
          <w:lang w:val="en-GB"/>
        </w:rPr>
        <w:t>Concept Paper: Role of LED officers in local economic development (contact points for business community in local administrations, strategy design, AWP linkages, proposals on improvement of daily administration of LSGs, etc.)</w:t>
      </w:r>
      <w:r w:rsidR="00485454" w:rsidRPr="00485454">
        <w:rPr>
          <w:rFonts w:ascii="Arial" w:hAnsi="Arial" w:cs="Arial"/>
          <w:lang w:val="en-GB"/>
        </w:rPr>
        <w:t>;</w:t>
      </w:r>
    </w:p>
    <w:p w14:paraId="07BF3997" w14:textId="36779CDE" w:rsidR="009371F3" w:rsidRPr="00485454" w:rsidRDefault="009371F3" w:rsidP="00FA1536">
      <w:pPr>
        <w:pStyle w:val="Listenabsatz"/>
        <w:numPr>
          <w:ilvl w:val="0"/>
          <w:numId w:val="33"/>
        </w:numPr>
        <w:jc w:val="both"/>
        <w:rPr>
          <w:rFonts w:ascii="Arial" w:hAnsi="Arial" w:cs="Arial"/>
          <w:lang w:val="en-GB"/>
        </w:rPr>
      </w:pPr>
      <w:r w:rsidRPr="00485454">
        <w:rPr>
          <w:rFonts w:ascii="Arial" w:hAnsi="Arial" w:cs="Arial"/>
          <w:lang w:val="en-GB"/>
        </w:rPr>
        <w:t>Presentations made at the Workshop</w:t>
      </w:r>
      <w:r w:rsidR="00DC5759" w:rsidRPr="00485454">
        <w:rPr>
          <w:rFonts w:ascii="Arial" w:hAnsi="Arial" w:cs="Arial"/>
          <w:lang w:val="en-GB"/>
        </w:rPr>
        <w:t>s</w:t>
      </w:r>
      <w:r w:rsidR="009E4ED4" w:rsidRPr="00485454">
        <w:rPr>
          <w:rFonts w:ascii="Arial" w:hAnsi="Arial" w:cs="Arial"/>
          <w:lang w:val="en-GB"/>
        </w:rPr>
        <w:t>.</w:t>
      </w:r>
    </w:p>
    <w:p w14:paraId="45AB17A2" w14:textId="2986EE4A" w:rsidR="00FA1536" w:rsidRPr="00485454" w:rsidRDefault="00FA1536" w:rsidP="002B1BD0">
      <w:pPr>
        <w:spacing w:after="120"/>
        <w:jc w:val="both"/>
        <w:rPr>
          <w:rFonts w:cs="Arial"/>
          <w:b/>
          <w:lang w:val="en-GB"/>
        </w:rPr>
      </w:pPr>
      <w:r w:rsidRPr="00485454">
        <w:rPr>
          <w:rFonts w:cs="Arial"/>
          <w:b/>
          <w:lang w:val="en-GB"/>
        </w:rPr>
        <w:t xml:space="preserve">As per Task </w:t>
      </w:r>
      <w:r w:rsidR="00993930" w:rsidRPr="00485454">
        <w:rPr>
          <w:rFonts w:cs="Arial"/>
          <w:b/>
          <w:lang w:val="en-GB"/>
        </w:rPr>
        <w:t>3</w:t>
      </w:r>
      <w:r w:rsidRPr="00485454">
        <w:rPr>
          <w:rFonts w:cs="Arial"/>
          <w:b/>
          <w:lang w:val="en-GB"/>
        </w:rPr>
        <w:t>:</w:t>
      </w:r>
    </w:p>
    <w:p w14:paraId="78DEAAF6" w14:textId="24A905F6" w:rsidR="00072900" w:rsidRPr="00485454" w:rsidRDefault="00072900" w:rsidP="00E43662">
      <w:pPr>
        <w:pStyle w:val="Listenabsatz"/>
        <w:numPr>
          <w:ilvl w:val="0"/>
          <w:numId w:val="33"/>
        </w:numPr>
        <w:jc w:val="both"/>
        <w:rPr>
          <w:rFonts w:ascii="Arial" w:hAnsi="Arial" w:cs="Arial"/>
          <w:lang w:val="en-GB"/>
        </w:rPr>
      </w:pPr>
      <w:r w:rsidRPr="00485454">
        <w:rPr>
          <w:rFonts w:ascii="Arial" w:hAnsi="Arial" w:cs="Arial"/>
          <w:lang w:val="en-GB"/>
        </w:rPr>
        <w:t>Review of the existing subventions scheme to recommend a subvention scheme management system with emphasis on LED</w:t>
      </w:r>
      <w:r w:rsidR="00485454" w:rsidRPr="00485454">
        <w:rPr>
          <w:rFonts w:ascii="Arial" w:hAnsi="Arial" w:cs="Arial"/>
          <w:lang w:val="en-GB"/>
        </w:rPr>
        <w:t>;</w:t>
      </w:r>
    </w:p>
    <w:p w14:paraId="549267DD" w14:textId="035662D2" w:rsidR="00993930" w:rsidRPr="00485454" w:rsidRDefault="00072900" w:rsidP="00E43662">
      <w:pPr>
        <w:pStyle w:val="Listenabsatz"/>
        <w:numPr>
          <w:ilvl w:val="0"/>
          <w:numId w:val="33"/>
        </w:numPr>
        <w:jc w:val="both"/>
        <w:rPr>
          <w:rFonts w:ascii="Arial" w:hAnsi="Arial" w:cs="Arial"/>
          <w:lang w:val="en-GB"/>
        </w:rPr>
      </w:pPr>
      <w:r w:rsidRPr="00485454">
        <w:rPr>
          <w:rFonts w:ascii="Arial" w:hAnsi="Arial" w:cs="Arial"/>
          <w:lang w:val="en-GB"/>
        </w:rPr>
        <w:lastRenderedPageBreak/>
        <w:t>Development of a system of benchmarking efficiency of subvention scheme in the entire project design chain</w:t>
      </w:r>
      <w:r w:rsidR="00485454" w:rsidRPr="00485454">
        <w:rPr>
          <w:rFonts w:ascii="Arial" w:hAnsi="Arial" w:cs="Arial"/>
          <w:lang w:val="en-GB"/>
        </w:rPr>
        <w:t>;</w:t>
      </w:r>
    </w:p>
    <w:p w14:paraId="0DF7631F" w14:textId="40173367" w:rsidR="00072900" w:rsidRPr="00485454" w:rsidRDefault="00485ED3" w:rsidP="00E43662">
      <w:pPr>
        <w:pStyle w:val="Listenabsatz"/>
        <w:numPr>
          <w:ilvl w:val="0"/>
          <w:numId w:val="33"/>
        </w:numPr>
        <w:jc w:val="both"/>
        <w:rPr>
          <w:rFonts w:ascii="Arial" w:hAnsi="Arial" w:cs="Arial"/>
          <w:lang w:val="en-GB"/>
        </w:rPr>
      </w:pPr>
      <w:r w:rsidRPr="05FC6599">
        <w:rPr>
          <w:rFonts w:ascii="Arial" w:hAnsi="Arial" w:cs="Arial"/>
          <w:lang w:val="en-GB"/>
        </w:rPr>
        <w:t>T</w:t>
      </w:r>
      <w:r w:rsidR="00072900" w:rsidRPr="05FC6599">
        <w:rPr>
          <w:rFonts w:ascii="Arial" w:hAnsi="Arial" w:cs="Arial"/>
          <w:lang w:val="en-GB"/>
        </w:rPr>
        <w:t xml:space="preserve">emplates for subvention projects, including rapid </w:t>
      </w:r>
      <w:r w:rsidRPr="05FC6599">
        <w:rPr>
          <w:rFonts w:ascii="Arial" w:hAnsi="Arial" w:cs="Arial"/>
          <w:lang w:val="en-GB"/>
        </w:rPr>
        <w:t xml:space="preserve">analysis </w:t>
      </w:r>
      <w:r w:rsidR="00072900" w:rsidRPr="05FC6599">
        <w:rPr>
          <w:rFonts w:ascii="Arial" w:hAnsi="Arial" w:cs="Arial"/>
          <w:lang w:val="en-GB"/>
        </w:rPr>
        <w:t>tools</w:t>
      </w:r>
      <w:r w:rsidR="00485454" w:rsidRPr="05FC6599">
        <w:rPr>
          <w:rFonts w:ascii="Arial" w:hAnsi="Arial" w:cs="Arial"/>
          <w:lang w:val="en-GB"/>
        </w:rPr>
        <w:t>;</w:t>
      </w:r>
    </w:p>
    <w:p w14:paraId="51CAE9AA" w14:textId="03D9F9A2" w:rsidR="00072900" w:rsidRPr="00485454" w:rsidRDefault="00072900" w:rsidP="00E43662">
      <w:pPr>
        <w:pStyle w:val="Listenabsatz"/>
        <w:numPr>
          <w:ilvl w:val="0"/>
          <w:numId w:val="33"/>
        </w:numPr>
        <w:jc w:val="both"/>
        <w:rPr>
          <w:rFonts w:ascii="Arial" w:hAnsi="Arial" w:cs="Arial"/>
          <w:lang w:val="en-GB"/>
        </w:rPr>
      </w:pPr>
      <w:r w:rsidRPr="05FC6599">
        <w:rPr>
          <w:rFonts w:ascii="Arial" w:hAnsi="Arial" w:cs="Arial"/>
          <w:lang w:val="en-GB"/>
        </w:rPr>
        <w:t>Design of a</w:t>
      </w:r>
      <w:r w:rsidR="00485ED3" w:rsidRPr="05FC6599">
        <w:rPr>
          <w:rFonts w:ascii="Arial" w:hAnsi="Arial" w:cs="Arial"/>
          <w:lang w:val="en-GB"/>
        </w:rPr>
        <w:t>n</w:t>
      </w:r>
      <w:r w:rsidRPr="05FC6599">
        <w:rPr>
          <w:rFonts w:ascii="Arial" w:hAnsi="Arial" w:cs="Arial"/>
          <w:lang w:val="en-GB"/>
        </w:rPr>
        <w:t xml:space="preserve"> M&amp;E framework for subvention projects</w:t>
      </w:r>
      <w:r w:rsidR="00485454" w:rsidRPr="05FC6599">
        <w:rPr>
          <w:rFonts w:ascii="Arial" w:hAnsi="Arial" w:cs="Arial"/>
          <w:lang w:val="en-GB"/>
        </w:rPr>
        <w:t>;</w:t>
      </w:r>
    </w:p>
    <w:p w14:paraId="07E21905" w14:textId="60E219B0" w:rsidR="00FA1536" w:rsidRPr="00485454" w:rsidRDefault="00AA46B0" w:rsidP="002B1BD0">
      <w:pPr>
        <w:pStyle w:val="Listenabsatz"/>
        <w:numPr>
          <w:ilvl w:val="0"/>
          <w:numId w:val="33"/>
        </w:numPr>
        <w:jc w:val="both"/>
        <w:rPr>
          <w:rFonts w:ascii="Arial" w:hAnsi="Arial" w:cs="Arial"/>
          <w:lang w:val="en-GB"/>
        </w:rPr>
      </w:pPr>
      <w:r w:rsidRPr="00485454">
        <w:rPr>
          <w:rFonts w:ascii="Arial" w:hAnsi="Arial" w:cs="Arial"/>
          <w:lang w:val="en-GB"/>
        </w:rPr>
        <w:t>Presentation of the recommendations to the MTAI partners (particularly, respective deputy minister and heads of Investment, as well as LSG Policy departments)</w:t>
      </w:r>
      <w:r w:rsidR="00CF6D8E" w:rsidRPr="00485454">
        <w:rPr>
          <w:rFonts w:ascii="Arial" w:hAnsi="Arial" w:cs="Arial"/>
          <w:lang w:val="en-GB"/>
        </w:rPr>
        <w:t>.</w:t>
      </w:r>
    </w:p>
    <w:p w14:paraId="6460E922" w14:textId="394525DF" w:rsidR="00FA1536" w:rsidRPr="00485454" w:rsidRDefault="00FA1536" w:rsidP="002B1BD0">
      <w:pPr>
        <w:spacing w:after="120"/>
        <w:jc w:val="both"/>
        <w:rPr>
          <w:rFonts w:cs="Arial"/>
          <w:b/>
          <w:lang w:val="en-GB"/>
        </w:rPr>
      </w:pPr>
      <w:r w:rsidRPr="00485454">
        <w:rPr>
          <w:rFonts w:cs="Arial"/>
          <w:b/>
          <w:lang w:val="en-GB"/>
        </w:rPr>
        <w:t>Concluding phase:</w:t>
      </w:r>
    </w:p>
    <w:p w14:paraId="6C26DE87" w14:textId="5335F774" w:rsidR="00AA46B0" w:rsidRPr="00485454" w:rsidRDefault="00AA46B0" w:rsidP="00962429">
      <w:pPr>
        <w:pStyle w:val="Listenabsatz"/>
        <w:numPr>
          <w:ilvl w:val="0"/>
          <w:numId w:val="33"/>
        </w:numPr>
        <w:jc w:val="both"/>
        <w:rPr>
          <w:rFonts w:ascii="Arial" w:hAnsi="Arial" w:cs="Arial"/>
          <w:lang w:val="en-GB"/>
        </w:rPr>
      </w:pPr>
      <w:r w:rsidRPr="00485454">
        <w:rPr>
          <w:rFonts w:ascii="Arial" w:hAnsi="Arial" w:cs="Arial"/>
          <w:lang w:val="en-GB"/>
        </w:rPr>
        <w:t>Concluding Workshop attended by MTAI, GGLD and other interested representatives</w:t>
      </w:r>
      <w:r w:rsidR="00485454" w:rsidRPr="00485454">
        <w:rPr>
          <w:rFonts w:ascii="Arial" w:hAnsi="Arial" w:cs="Arial"/>
          <w:lang w:val="en-GB"/>
        </w:rPr>
        <w:t>;</w:t>
      </w:r>
    </w:p>
    <w:p w14:paraId="5643393B" w14:textId="1E67C8AF" w:rsidR="00962429" w:rsidRDefault="00FA1536" w:rsidP="002B1BD0">
      <w:pPr>
        <w:pStyle w:val="Listenabsatz"/>
        <w:numPr>
          <w:ilvl w:val="0"/>
          <w:numId w:val="33"/>
        </w:numPr>
        <w:contextualSpacing w:val="0"/>
        <w:jc w:val="both"/>
        <w:rPr>
          <w:rFonts w:ascii="Arial" w:hAnsi="Arial" w:cs="Arial"/>
          <w:lang w:val="en-GB"/>
        </w:rPr>
      </w:pPr>
      <w:r w:rsidRPr="00485454">
        <w:rPr>
          <w:rFonts w:ascii="Arial" w:hAnsi="Arial" w:cs="Arial"/>
          <w:lang w:val="en-GB"/>
        </w:rPr>
        <w:t>Final assignment report</w:t>
      </w:r>
      <w:r w:rsidR="00AA46B0" w:rsidRPr="00485454">
        <w:rPr>
          <w:rFonts w:ascii="Arial" w:hAnsi="Arial" w:cs="Arial"/>
          <w:lang w:val="en-GB"/>
        </w:rPr>
        <w:t>, including recommendations on next steps</w:t>
      </w:r>
      <w:r w:rsidR="00CF6D8E" w:rsidRPr="00485454">
        <w:rPr>
          <w:rFonts w:ascii="Arial" w:hAnsi="Arial" w:cs="Arial"/>
          <w:lang w:val="en-GB"/>
        </w:rPr>
        <w:t>.</w:t>
      </w:r>
    </w:p>
    <w:p w14:paraId="0E8AAA1C" w14:textId="77777777" w:rsidR="006731D7" w:rsidRPr="00485454" w:rsidRDefault="006731D7" w:rsidP="006731D7">
      <w:pPr>
        <w:pStyle w:val="Listenabsatz"/>
        <w:contextualSpacing w:val="0"/>
        <w:jc w:val="both"/>
        <w:rPr>
          <w:rFonts w:ascii="Arial" w:hAnsi="Arial" w:cs="Arial"/>
          <w:lang w:val="en-GB"/>
        </w:rPr>
      </w:pPr>
    </w:p>
    <w:p w14:paraId="2487A877" w14:textId="3A46DA91" w:rsidR="00ED75DA" w:rsidRPr="00485454" w:rsidRDefault="0030104C" w:rsidP="6D13DA79">
      <w:pPr>
        <w:pStyle w:val="Listenabsatz"/>
        <w:numPr>
          <w:ilvl w:val="0"/>
          <w:numId w:val="25"/>
        </w:numPr>
        <w:spacing w:before="240" w:after="120"/>
        <w:ind w:left="714" w:hanging="357"/>
        <w:contextualSpacing w:val="0"/>
        <w:jc w:val="both"/>
        <w:rPr>
          <w:rFonts w:ascii="Arial" w:hAnsi="Arial" w:cs="Arial"/>
          <w:b/>
          <w:bCs/>
          <w:lang w:val="en-GB"/>
        </w:rPr>
      </w:pPr>
      <w:r w:rsidRPr="05FC6599">
        <w:rPr>
          <w:rFonts w:ascii="Arial" w:hAnsi="Arial" w:cs="Arial"/>
          <w:b/>
          <w:bCs/>
          <w:lang w:val="en-GB"/>
        </w:rPr>
        <w:t>Schedule and l</w:t>
      </w:r>
      <w:r w:rsidR="00ED75DA" w:rsidRPr="05FC6599">
        <w:rPr>
          <w:rFonts w:ascii="Arial" w:hAnsi="Arial" w:cs="Arial"/>
          <w:b/>
          <w:bCs/>
          <w:lang w:val="en-GB"/>
        </w:rPr>
        <w:t>evel of effort</w:t>
      </w:r>
    </w:p>
    <w:p w14:paraId="44357573" w14:textId="0ABE3726" w:rsidR="00491EF7" w:rsidRPr="006731D7" w:rsidRDefault="0030104C" w:rsidP="006731D7">
      <w:pPr>
        <w:spacing w:after="120"/>
        <w:jc w:val="both"/>
        <w:rPr>
          <w:rFonts w:cs="Arial"/>
          <w:lang w:val="en-GB"/>
        </w:rPr>
      </w:pPr>
      <w:r w:rsidRPr="05FC6599">
        <w:rPr>
          <w:rFonts w:cs="Arial"/>
          <w:lang w:val="en-GB"/>
        </w:rPr>
        <w:t xml:space="preserve">The assignment is planned </w:t>
      </w:r>
      <w:r w:rsidR="00265134" w:rsidRPr="05FC6599">
        <w:rPr>
          <w:rFonts w:cs="Arial"/>
          <w:lang w:val="en-GB"/>
        </w:rPr>
        <w:t xml:space="preserve">for the period between </w:t>
      </w:r>
      <w:r w:rsidR="00485ED3" w:rsidRPr="05FC6599">
        <w:rPr>
          <w:rFonts w:cs="Arial"/>
          <w:b/>
          <w:bCs/>
          <w:lang w:val="en-GB"/>
        </w:rPr>
        <w:t xml:space="preserve">April </w:t>
      </w:r>
      <w:r w:rsidR="00796F13" w:rsidRPr="05FC6599">
        <w:rPr>
          <w:rFonts w:cs="Arial"/>
          <w:b/>
          <w:bCs/>
          <w:lang w:val="en-GB"/>
        </w:rPr>
        <w:t xml:space="preserve">2021 </w:t>
      </w:r>
      <w:r w:rsidR="00265134" w:rsidRPr="05FC6599">
        <w:rPr>
          <w:rFonts w:cs="Arial"/>
          <w:b/>
          <w:bCs/>
          <w:lang w:val="en-GB"/>
        </w:rPr>
        <w:t xml:space="preserve">and </w:t>
      </w:r>
      <w:r w:rsidR="00BB369D" w:rsidRPr="05FC6599">
        <w:rPr>
          <w:rFonts w:cs="Arial"/>
          <w:b/>
          <w:bCs/>
          <w:lang w:val="en-GB"/>
        </w:rPr>
        <w:t>February 2023</w:t>
      </w:r>
      <w:r w:rsidR="00560809" w:rsidRPr="05FC6599">
        <w:rPr>
          <w:rFonts w:cs="Arial"/>
          <w:b/>
          <w:bCs/>
          <w:lang w:val="en-GB"/>
        </w:rPr>
        <w:t>.</w:t>
      </w:r>
      <w:r w:rsidRPr="05FC6599">
        <w:rPr>
          <w:rFonts w:cs="Arial"/>
          <w:b/>
          <w:bCs/>
          <w:lang w:val="en-GB"/>
        </w:rPr>
        <w:t xml:space="preserve"> </w:t>
      </w:r>
      <w:r w:rsidRPr="05FC6599">
        <w:rPr>
          <w:rFonts w:cs="Arial"/>
          <w:lang w:val="en-GB"/>
        </w:rPr>
        <w:t>The exact commencement date and schedule of activities/work plan will be agreed at a later stage.</w:t>
      </w:r>
      <w:r w:rsidR="002C3CD3" w:rsidRPr="05FC6599">
        <w:rPr>
          <w:rFonts w:cs="Arial"/>
          <w:lang w:val="en-GB"/>
        </w:rPr>
        <w:t xml:space="preserve"> </w:t>
      </w:r>
      <w:r w:rsidR="00ED75DA" w:rsidRPr="05FC6599">
        <w:rPr>
          <w:rFonts w:cs="Arial"/>
          <w:lang w:val="en-GB"/>
        </w:rPr>
        <w:t xml:space="preserve">The total level of efforts for this assignment is </w:t>
      </w:r>
      <w:r w:rsidR="00ED75DA" w:rsidRPr="05FC6599">
        <w:rPr>
          <w:rFonts w:cs="Arial"/>
          <w:b/>
          <w:bCs/>
          <w:lang w:val="en-GB"/>
        </w:rPr>
        <w:t xml:space="preserve">up to </w:t>
      </w:r>
      <w:r w:rsidR="6E9777E3" w:rsidRPr="05FC6599">
        <w:rPr>
          <w:rFonts w:cs="Arial"/>
          <w:b/>
          <w:bCs/>
          <w:lang w:val="en-GB"/>
        </w:rPr>
        <w:t>3</w:t>
      </w:r>
      <w:r w:rsidR="002071BE">
        <w:rPr>
          <w:rFonts w:cs="Arial"/>
          <w:b/>
          <w:bCs/>
          <w:lang w:val="en-GB"/>
        </w:rPr>
        <w:t>40</w:t>
      </w:r>
      <w:r w:rsidR="00AA2539" w:rsidRPr="05FC6599">
        <w:rPr>
          <w:rFonts w:cs="Arial"/>
          <w:b/>
          <w:bCs/>
          <w:lang w:val="en-GB"/>
        </w:rPr>
        <w:t xml:space="preserve"> </w:t>
      </w:r>
      <w:r w:rsidR="00ED75DA" w:rsidRPr="05FC6599">
        <w:rPr>
          <w:rFonts w:cs="Arial"/>
          <w:b/>
          <w:bCs/>
          <w:lang w:val="en-GB"/>
        </w:rPr>
        <w:t>expert days</w:t>
      </w:r>
      <w:r w:rsidR="00962429" w:rsidRPr="05FC6599">
        <w:rPr>
          <w:rFonts w:cs="Arial"/>
          <w:lang w:val="en-GB"/>
        </w:rPr>
        <w:t>.</w:t>
      </w:r>
    </w:p>
    <w:tbl>
      <w:tblPr>
        <w:tblStyle w:val="Tabellenraster"/>
        <w:tblW w:w="9550" w:type="dxa"/>
        <w:tblLook w:val="04A0" w:firstRow="1" w:lastRow="0" w:firstColumn="1" w:lastColumn="0" w:noHBand="0" w:noVBand="1"/>
      </w:tblPr>
      <w:tblGrid>
        <w:gridCol w:w="1529"/>
        <w:gridCol w:w="5270"/>
        <w:gridCol w:w="993"/>
        <w:gridCol w:w="1758"/>
      </w:tblGrid>
      <w:tr w:rsidR="00DB4D06" w:rsidRPr="00D4590B" w14:paraId="18A84341" w14:textId="77777777" w:rsidTr="05FC6599">
        <w:tc>
          <w:tcPr>
            <w:tcW w:w="6799" w:type="dxa"/>
            <w:gridSpan w:val="2"/>
            <w:shd w:val="clear" w:color="auto" w:fill="D9D9D9" w:themeFill="background1" w:themeFillShade="D9"/>
            <w:vAlign w:val="center"/>
          </w:tcPr>
          <w:p w14:paraId="14B32D11" w14:textId="41EC5426" w:rsidR="00DB4D06" w:rsidRPr="00D4590B" w:rsidRDefault="00DB4D06" w:rsidP="006731D7">
            <w:pPr>
              <w:snapToGrid w:val="0"/>
              <w:spacing w:before="20" w:after="20"/>
              <w:rPr>
                <w:rFonts w:cs="Arial"/>
                <w:b/>
                <w:bCs/>
                <w:sz w:val="20"/>
                <w:lang w:val="en-GB"/>
              </w:rPr>
            </w:pPr>
            <w:r w:rsidRPr="00D4590B">
              <w:rPr>
                <w:rFonts w:cs="Arial"/>
                <w:b/>
                <w:bCs/>
                <w:sz w:val="20"/>
                <w:lang w:val="en-GB"/>
              </w:rPr>
              <w:t>Tasks</w:t>
            </w:r>
          </w:p>
        </w:tc>
        <w:tc>
          <w:tcPr>
            <w:tcW w:w="993" w:type="dxa"/>
            <w:shd w:val="clear" w:color="auto" w:fill="D9D9D9" w:themeFill="background1" w:themeFillShade="D9"/>
          </w:tcPr>
          <w:p w14:paraId="38D4A371" w14:textId="43349BB1" w:rsidR="00DB4D06" w:rsidRPr="00D4590B" w:rsidRDefault="00DB4D06" w:rsidP="006731D7">
            <w:pPr>
              <w:snapToGrid w:val="0"/>
              <w:spacing w:before="20" w:after="20"/>
              <w:jc w:val="center"/>
              <w:rPr>
                <w:rFonts w:cs="Arial"/>
                <w:b/>
                <w:bCs/>
                <w:sz w:val="20"/>
                <w:lang w:val="en-GB"/>
              </w:rPr>
            </w:pPr>
            <w:r w:rsidRPr="00D4590B">
              <w:rPr>
                <w:rFonts w:cs="Arial"/>
                <w:b/>
                <w:bCs/>
                <w:sz w:val="20"/>
                <w:lang w:val="en-GB"/>
              </w:rPr>
              <w:t>Expert days</w:t>
            </w:r>
          </w:p>
        </w:tc>
        <w:tc>
          <w:tcPr>
            <w:tcW w:w="1758" w:type="dxa"/>
            <w:shd w:val="clear" w:color="auto" w:fill="D9D9D9" w:themeFill="background1" w:themeFillShade="D9"/>
            <w:vAlign w:val="center"/>
          </w:tcPr>
          <w:p w14:paraId="508EFDB7" w14:textId="223FA295" w:rsidR="00DB4D06" w:rsidRPr="00D4590B" w:rsidRDefault="00DB4D06" w:rsidP="006731D7">
            <w:pPr>
              <w:snapToGrid w:val="0"/>
              <w:spacing w:before="20" w:after="20"/>
              <w:jc w:val="center"/>
              <w:rPr>
                <w:rFonts w:cs="Arial"/>
                <w:b/>
                <w:bCs/>
                <w:sz w:val="20"/>
                <w:lang w:val="en-GB"/>
              </w:rPr>
            </w:pPr>
            <w:r w:rsidRPr="00D4590B">
              <w:rPr>
                <w:rFonts w:cs="Arial"/>
                <w:b/>
                <w:bCs/>
                <w:sz w:val="20"/>
                <w:lang w:val="en-GB"/>
              </w:rPr>
              <w:t>Concluded by</w:t>
            </w:r>
          </w:p>
        </w:tc>
      </w:tr>
      <w:tr w:rsidR="00D4590B" w:rsidRPr="00D4590B" w14:paraId="69CD811B" w14:textId="77777777" w:rsidTr="05FC6599">
        <w:tc>
          <w:tcPr>
            <w:tcW w:w="1529" w:type="dxa"/>
            <w:vAlign w:val="center"/>
          </w:tcPr>
          <w:p w14:paraId="0A28CC10" w14:textId="226517AA" w:rsidR="00D4590B" w:rsidRPr="00D4590B" w:rsidRDefault="00D4590B" w:rsidP="006731D7">
            <w:pPr>
              <w:snapToGrid w:val="0"/>
              <w:spacing w:before="20" w:after="20"/>
              <w:rPr>
                <w:rFonts w:cs="Arial"/>
                <w:sz w:val="20"/>
                <w:lang w:val="en-GB"/>
              </w:rPr>
            </w:pPr>
            <w:r w:rsidRPr="00D4590B">
              <w:rPr>
                <w:rFonts w:cs="Arial"/>
                <w:b/>
                <w:sz w:val="20"/>
                <w:lang w:val="en-GB"/>
              </w:rPr>
              <w:t>Preparation phase</w:t>
            </w:r>
          </w:p>
        </w:tc>
        <w:tc>
          <w:tcPr>
            <w:tcW w:w="5270" w:type="dxa"/>
          </w:tcPr>
          <w:p w14:paraId="5A29452C" w14:textId="7624B819" w:rsidR="00D4590B" w:rsidRPr="00D4590B" w:rsidRDefault="00D4590B" w:rsidP="006731D7">
            <w:pPr>
              <w:snapToGrid w:val="0"/>
              <w:spacing w:before="20" w:after="20"/>
              <w:rPr>
                <w:rFonts w:cs="Arial"/>
                <w:sz w:val="20"/>
                <w:lang w:val="en-GB"/>
              </w:rPr>
            </w:pPr>
            <w:r w:rsidRPr="00D4590B">
              <w:rPr>
                <w:rFonts w:eastAsia="Calibri" w:cs="Arial"/>
                <w:sz w:val="20"/>
                <w:lang w:val="en-GB" w:eastAsia="en-US"/>
              </w:rPr>
              <w:t>Pre-mission preparation, including collection of documents and other necessary information, desk review, agreements on the detailed work-plan</w:t>
            </w:r>
          </w:p>
        </w:tc>
        <w:tc>
          <w:tcPr>
            <w:tcW w:w="993" w:type="dxa"/>
            <w:vAlign w:val="center"/>
          </w:tcPr>
          <w:p w14:paraId="7C4F8E22" w14:textId="1D9A8AE8" w:rsidR="00D4590B" w:rsidRPr="00D4590B" w:rsidRDefault="00785E57" w:rsidP="006731D7">
            <w:pPr>
              <w:snapToGrid w:val="0"/>
              <w:spacing w:before="20" w:after="20"/>
              <w:jc w:val="center"/>
              <w:rPr>
                <w:rFonts w:cs="Arial"/>
                <w:sz w:val="20"/>
                <w:lang w:val="en-GB"/>
              </w:rPr>
            </w:pPr>
            <w:r>
              <w:rPr>
                <w:rFonts w:cs="Arial"/>
                <w:sz w:val="20"/>
                <w:lang w:val="en-GB"/>
              </w:rPr>
              <w:t>4</w:t>
            </w:r>
          </w:p>
        </w:tc>
        <w:tc>
          <w:tcPr>
            <w:tcW w:w="1758" w:type="dxa"/>
            <w:vAlign w:val="center"/>
          </w:tcPr>
          <w:p w14:paraId="130CB6CD" w14:textId="4035D40D" w:rsidR="00D4590B" w:rsidRPr="00D4590B" w:rsidRDefault="00D4590B" w:rsidP="006731D7">
            <w:pPr>
              <w:snapToGrid w:val="0"/>
              <w:spacing w:before="20" w:after="20"/>
              <w:jc w:val="center"/>
              <w:rPr>
                <w:rFonts w:cs="Arial"/>
                <w:sz w:val="20"/>
                <w:lang w:val="en-GB"/>
              </w:rPr>
            </w:pPr>
            <w:r>
              <w:rPr>
                <w:rFonts w:cs="Arial"/>
                <w:sz w:val="20"/>
                <w:lang w:val="en-GB"/>
              </w:rPr>
              <w:t>Mid-April 2021</w:t>
            </w:r>
          </w:p>
        </w:tc>
      </w:tr>
      <w:tr w:rsidR="00DB4D06" w:rsidRPr="00D4590B" w14:paraId="590007C0" w14:textId="77777777" w:rsidTr="05FC6599">
        <w:tc>
          <w:tcPr>
            <w:tcW w:w="6799" w:type="dxa"/>
            <w:gridSpan w:val="2"/>
          </w:tcPr>
          <w:p w14:paraId="7DE67491" w14:textId="364F73B2" w:rsidR="00DB4D06" w:rsidRPr="00D4590B" w:rsidRDefault="00DB4D06" w:rsidP="006731D7">
            <w:pPr>
              <w:snapToGrid w:val="0"/>
              <w:spacing w:before="20" w:after="20"/>
              <w:rPr>
                <w:rFonts w:cs="Arial"/>
                <w:sz w:val="20"/>
                <w:lang w:val="en-GB"/>
              </w:rPr>
            </w:pPr>
            <w:r w:rsidRPr="00D4590B">
              <w:rPr>
                <w:rFonts w:eastAsia="Calibri" w:cs="Arial"/>
                <w:b/>
                <w:sz w:val="20"/>
                <w:lang w:val="en-GB" w:eastAsia="en-US"/>
              </w:rPr>
              <w:t>Sub-total</w:t>
            </w:r>
          </w:p>
        </w:tc>
        <w:tc>
          <w:tcPr>
            <w:tcW w:w="993" w:type="dxa"/>
            <w:vAlign w:val="center"/>
          </w:tcPr>
          <w:p w14:paraId="0D12CD6C" w14:textId="569A72FF" w:rsidR="00DB4D06" w:rsidRPr="00DB4D06" w:rsidRDefault="00785E57" w:rsidP="006731D7">
            <w:pPr>
              <w:snapToGrid w:val="0"/>
              <w:spacing w:before="20" w:after="20"/>
              <w:jc w:val="center"/>
              <w:rPr>
                <w:rFonts w:cs="Arial"/>
                <w:b/>
                <w:bCs/>
                <w:sz w:val="20"/>
                <w:lang w:val="en-GB"/>
              </w:rPr>
            </w:pPr>
            <w:r>
              <w:rPr>
                <w:rFonts w:cs="Arial"/>
                <w:b/>
                <w:bCs/>
                <w:sz w:val="20"/>
                <w:lang w:val="en-GB"/>
              </w:rPr>
              <w:t>4</w:t>
            </w:r>
          </w:p>
        </w:tc>
        <w:tc>
          <w:tcPr>
            <w:tcW w:w="1758" w:type="dxa"/>
          </w:tcPr>
          <w:p w14:paraId="255F6DB2" w14:textId="77777777" w:rsidR="00DB4D06" w:rsidRPr="00D4590B" w:rsidRDefault="00DB4D06" w:rsidP="006731D7">
            <w:pPr>
              <w:snapToGrid w:val="0"/>
              <w:spacing w:before="20" w:after="20"/>
              <w:jc w:val="center"/>
              <w:rPr>
                <w:rFonts w:cs="Arial"/>
                <w:sz w:val="20"/>
                <w:lang w:val="en-GB"/>
              </w:rPr>
            </w:pPr>
          </w:p>
        </w:tc>
      </w:tr>
      <w:tr w:rsidR="00785E57" w:rsidRPr="00954D9E" w14:paraId="5DA90216" w14:textId="77777777" w:rsidTr="05FC6599">
        <w:tc>
          <w:tcPr>
            <w:tcW w:w="1529" w:type="dxa"/>
            <w:vMerge w:val="restart"/>
            <w:vAlign w:val="center"/>
          </w:tcPr>
          <w:p w14:paraId="50FF5646" w14:textId="1E5A12E6" w:rsidR="00785E57" w:rsidRPr="00D4590B" w:rsidRDefault="00785E57" w:rsidP="006731D7">
            <w:pPr>
              <w:snapToGrid w:val="0"/>
              <w:spacing w:before="20" w:after="20"/>
              <w:rPr>
                <w:rFonts w:cs="Arial"/>
                <w:b/>
                <w:bCs/>
                <w:sz w:val="20"/>
                <w:lang w:val="en-GB"/>
              </w:rPr>
            </w:pPr>
            <w:r w:rsidRPr="00D4590B">
              <w:rPr>
                <w:rFonts w:cs="Arial"/>
                <w:b/>
                <w:bCs/>
                <w:sz w:val="20"/>
                <w:lang w:val="en-GB"/>
              </w:rPr>
              <w:t>Task 1</w:t>
            </w:r>
          </w:p>
          <w:p w14:paraId="0093B70F" w14:textId="18048983" w:rsidR="00785E57" w:rsidRDefault="00785E57" w:rsidP="006731D7">
            <w:pPr>
              <w:snapToGrid w:val="0"/>
              <w:spacing w:before="20" w:after="20"/>
              <w:rPr>
                <w:rFonts w:cs="Arial"/>
                <w:sz w:val="20"/>
                <w:lang w:val="en-GB"/>
              </w:rPr>
            </w:pPr>
            <w:r w:rsidRPr="00D4590B">
              <w:rPr>
                <w:rFonts w:cs="Arial"/>
                <w:sz w:val="20"/>
                <w:lang w:val="en-GB"/>
              </w:rPr>
              <w:t>Capacity Development for 34 LSGs in participatory development of LED plans</w:t>
            </w:r>
          </w:p>
          <w:p w14:paraId="71363287" w14:textId="4F537D6B" w:rsidR="00785E57" w:rsidRPr="00D4590B" w:rsidRDefault="00785E57" w:rsidP="006731D7">
            <w:pPr>
              <w:snapToGrid w:val="0"/>
              <w:spacing w:before="20" w:after="20"/>
              <w:rPr>
                <w:rFonts w:cs="Arial"/>
                <w:sz w:val="20"/>
                <w:lang w:val="en-GB"/>
              </w:rPr>
            </w:pPr>
          </w:p>
        </w:tc>
        <w:tc>
          <w:tcPr>
            <w:tcW w:w="5270" w:type="dxa"/>
          </w:tcPr>
          <w:p w14:paraId="473D66D2" w14:textId="746DA8B1" w:rsidR="00785E57" w:rsidRPr="00785E57" w:rsidRDefault="00785E57" w:rsidP="006731D7">
            <w:pPr>
              <w:snapToGrid w:val="0"/>
              <w:spacing w:before="20" w:after="20"/>
              <w:rPr>
                <w:rFonts w:cs="Arial"/>
                <w:sz w:val="20"/>
                <w:lang w:val="en-GB"/>
              </w:rPr>
            </w:pPr>
            <w:r w:rsidRPr="00785E57">
              <w:rPr>
                <w:rFonts w:cs="Arial"/>
                <w:sz w:val="20"/>
                <w:lang w:val="en-GB"/>
              </w:rPr>
              <w:t>Design of the agenda and schedule of 3-day workshops on designing LED plans in 34 municipalities</w:t>
            </w:r>
          </w:p>
        </w:tc>
        <w:tc>
          <w:tcPr>
            <w:tcW w:w="993" w:type="dxa"/>
            <w:vAlign w:val="center"/>
          </w:tcPr>
          <w:p w14:paraId="199E50D8" w14:textId="26313835" w:rsidR="00785E57" w:rsidRPr="00D4590B" w:rsidRDefault="00785E57" w:rsidP="006731D7">
            <w:pPr>
              <w:snapToGrid w:val="0"/>
              <w:spacing w:before="20" w:after="20"/>
              <w:jc w:val="center"/>
              <w:rPr>
                <w:rFonts w:cs="Arial"/>
                <w:sz w:val="20"/>
                <w:lang w:val="en-GB"/>
              </w:rPr>
            </w:pPr>
            <w:r>
              <w:rPr>
                <w:rFonts w:cs="Arial"/>
                <w:sz w:val="20"/>
                <w:lang w:val="en-GB"/>
              </w:rPr>
              <w:t>2</w:t>
            </w:r>
          </w:p>
        </w:tc>
        <w:tc>
          <w:tcPr>
            <w:tcW w:w="1758" w:type="dxa"/>
            <w:vMerge w:val="restart"/>
            <w:vAlign w:val="center"/>
          </w:tcPr>
          <w:p w14:paraId="6B690DEB" w14:textId="77777777" w:rsidR="00785E57" w:rsidRPr="00485454" w:rsidRDefault="00785E57" w:rsidP="006731D7">
            <w:pPr>
              <w:pStyle w:val="1Einrckung"/>
              <w:tabs>
                <w:tab w:val="clear" w:pos="483"/>
                <w:tab w:val="left" w:pos="270"/>
              </w:tabs>
              <w:spacing w:before="20" w:after="20"/>
              <w:ind w:left="0" w:firstLine="0"/>
              <w:jc w:val="center"/>
              <w:rPr>
                <w:rFonts w:eastAsia="Calibri" w:cs="Arial"/>
                <w:sz w:val="20"/>
                <w:lang w:val="en-GB" w:eastAsia="en-US"/>
              </w:rPr>
            </w:pPr>
            <w:r w:rsidRPr="00485454">
              <w:rPr>
                <w:rFonts w:eastAsia="Calibri" w:cs="Arial"/>
                <w:sz w:val="20"/>
                <w:lang w:val="en-GB" w:eastAsia="en-US"/>
              </w:rPr>
              <w:t>17 LSG by November 2021</w:t>
            </w:r>
          </w:p>
          <w:p w14:paraId="3847D9A5" w14:textId="77777777" w:rsidR="00785E57" w:rsidRPr="00485454" w:rsidRDefault="00785E57" w:rsidP="006731D7">
            <w:pPr>
              <w:pStyle w:val="1Einrckung"/>
              <w:tabs>
                <w:tab w:val="clear" w:pos="483"/>
                <w:tab w:val="left" w:pos="270"/>
              </w:tabs>
              <w:spacing w:before="20" w:after="20"/>
              <w:ind w:left="0" w:firstLine="0"/>
              <w:jc w:val="center"/>
              <w:rPr>
                <w:rFonts w:eastAsia="Calibri" w:cs="Arial"/>
                <w:sz w:val="20"/>
                <w:lang w:val="en-GB" w:eastAsia="en-US"/>
              </w:rPr>
            </w:pPr>
          </w:p>
          <w:p w14:paraId="69903E0A" w14:textId="377570B9" w:rsidR="00785E57" w:rsidRPr="00D4590B" w:rsidRDefault="00785E57" w:rsidP="006731D7">
            <w:pPr>
              <w:snapToGrid w:val="0"/>
              <w:spacing w:before="20" w:after="20"/>
              <w:jc w:val="center"/>
              <w:rPr>
                <w:rFonts w:cs="Arial"/>
                <w:sz w:val="20"/>
                <w:lang w:val="en-GB"/>
              </w:rPr>
            </w:pPr>
            <w:r w:rsidRPr="00485454">
              <w:rPr>
                <w:rFonts w:eastAsia="Calibri" w:cs="Arial"/>
                <w:sz w:val="20"/>
                <w:lang w:val="en-GB" w:eastAsia="en-US"/>
              </w:rPr>
              <w:t>17 by November 2022</w:t>
            </w:r>
          </w:p>
        </w:tc>
      </w:tr>
      <w:tr w:rsidR="00785E57" w:rsidRPr="00D4590B" w14:paraId="5C9A72CC" w14:textId="77777777" w:rsidTr="05FC6599">
        <w:tc>
          <w:tcPr>
            <w:tcW w:w="1529" w:type="dxa"/>
            <w:vMerge/>
          </w:tcPr>
          <w:p w14:paraId="37C1FAE2" w14:textId="77777777" w:rsidR="00785E57" w:rsidRPr="00D4590B" w:rsidRDefault="00785E57" w:rsidP="006731D7">
            <w:pPr>
              <w:snapToGrid w:val="0"/>
              <w:spacing w:before="20" w:after="20"/>
              <w:rPr>
                <w:rFonts w:cs="Arial"/>
                <w:sz w:val="20"/>
                <w:lang w:val="en-GB"/>
              </w:rPr>
            </w:pPr>
          </w:p>
        </w:tc>
        <w:tc>
          <w:tcPr>
            <w:tcW w:w="5270" w:type="dxa"/>
          </w:tcPr>
          <w:p w14:paraId="27C2715E" w14:textId="29DD11CC" w:rsidR="00785E57" w:rsidRPr="00785E57" w:rsidRDefault="00785E57" w:rsidP="006731D7">
            <w:pPr>
              <w:snapToGrid w:val="0"/>
              <w:spacing w:before="20" w:after="20"/>
              <w:rPr>
                <w:rFonts w:cs="Arial"/>
                <w:sz w:val="20"/>
                <w:lang w:val="en-GB"/>
              </w:rPr>
            </w:pPr>
            <w:r w:rsidRPr="00785E57">
              <w:rPr>
                <w:rFonts w:cs="Arial"/>
                <w:sz w:val="20"/>
                <w:lang w:val="en-GB"/>
              </w:rPr>
              <w:t>Design of 34 LED Plans</w:t>
            </w:r>
            <w:r w:rsidRPr="00785E57">
              <w:rPr>
                <w:rFonts w:cs="Arial"/>
                <w:sz w:val="20"/>
                <w:lang w:val="en-GB"/>
              </w:rPr>
              <w:t xml:space="preserve"> incl. </w:t>
            </w:r>
            <w:r>
              <w:rPr>
                <w:rFonts w:cs="Arial"/>
                <w:sz w:val="20"/>
                <w:lang w:val="en-GB"/>
              </w:rPr>
              <w:t>i</w:t>
            </w:r>
            <w:r w:rsidRPr="000C72AB">
              <w:rPr>
                <w:sz w:val="20"/>
                <w:lang w:val="en-GB"/>
              </w:rPr>
              <w:t>dentification of target groups specific needs and priorities: Identification of public investment needs and their prioritisation</w:t>
            </w:r>
          </w:p>
        </w:tc>
        <w:tc>
          <w:tcPr>
            <w:tcW w:w="993" w:type="dxa"/>
            <w:vAlign w:val="center"/>
          </w:tcPr>
          <w:p w14:paraId="6983DEA4" w14:textId="799FE6C0" w:rsidR="00785E57" w:rsidRPr="00D4590B" w:rsidRDefault="00785E57" w:rsidP="006731D7">
            <w:pPr>
              <w:snapToGrid w:val="0"/>
              <w:spacing w:before="20" w:after="20"/>
              <w:jc w:val="center"/>
              <w:rPr>
                <w:rFonts w:cs="Arial"/>
                <w:sz w:val="20"/>
                <w:lang w:val="en-GB"/>
              </w:rPr>
            </w:pPr>
            <w:r>
              <w:rPr>
                <w:rFonts w:cs="Arial"/>
                <w:sz w:val="20"/>
                <w:lang w:val="en-GB"/>
              </w:rPr>
              <w:t>1</w:t>
            </w:r>
            <w:r w:rsidR="002071BE">
              <w:rPr>
                <w:rFonts w:cs="Arial"/>
                <w:sz w:val="20"/>
                <w:lang w:val="en-GB"/>
              </w:rPr>
              <w:t>53</w:t>
            </w:r>
          </w:p>
        </w:tc>
        <w:tc>
          <w:tcPr>
            <w:tcW w:w="1758" w:type="dxa"/>
            <w:vMerge/>
          </w:tcPr>
          <w:p w14:paraId="03011BF7" w14:textId="07629133" w:rsidR="00785E57" w:rsidRPr="00D4590B" w:rsidRDefault="00785E57" w:rsidP="006731D7">
            <w:pPr>
              <w:snapToGrid w:val="0"/>
              <w:spacing w:before="20" w:after="20"/>
              <w:jc w:val="center"/>
              <w:rPr>
                <w:rFonts w:cs="Arial"/>
                <w:sz w:val="20"/>
                <w:lang w:val="en-GB"/>
              </w:rPr>
            </w:pPr>
          </w:p>
        </w:tc>
      </w:tr>
      <w:tr w:rsidR="00785E57" w:rsidRPr="00D4590B" w14:paraId="750D9D8D" w14:textId="77777777" w:rsidTr="05FC6599">
        <w:tc>
          <w:tcPr>
            <w:tcW w:w="1529" w:type="dxa"/>
            <w:vMerge/>
          </w:tcPr>
          <w:p w14:paraId="2C32F26D" w14:textId="77777777" w:rsidR="00785E57" w:rsidRPr="00D4590B" w:rsidRDefault="00785E57" w:rsidP="006731D7">
            <w:pPr>
              <w:snapToGrid w:val="0"/>
              <w:spacing w:before="20" w:after="20"/>
              <w:rPr>
                <w:rFonts w:cs="Arial"/>
                <w:sz w:val="20"/>
                <w:lang w:val="en-GB"/>
              </w:rPr>
            </w:pPr>
          </w:p>
        </w:tc>
        <w:tc>
          <w:tcPr>
            <w:tcW w:w="5270" w:type="dxa"/>
          </w:tcPr>
          <w:p w14:paraId="398B02CF" w14:textId="2E351658" w:rsidR="00785E57" w:rsidRPr="00785E57" w:rsidRDefault="00785E57" w:rsidP="006731D7">
            <w:pPr>
              <w:snapToGrid w:val="0"/>
              <w:spacing w:before="20" w:after="20"/>
              <w:rPr>
                <w:rFonts w:cs="Arial"/>
                <w:sz w:val="20"/>
                <w:lang w:val="en-GB"/>
              </w:rPr>
            </w:pPr>
            <w:r w:rsidRPr="00785E57">
              <w:rPr>
                <w:rFonts w:cs="Arial"/>
                <w:sz w:val="20"/>
                <w:lang w:val="en-GB"/>
              </w:rPr>
              <w:t>Presentation of the results of the trainings (including number of participants, men, and women, etc.)</w:t>
            </w:r>
          </w:p>
        </w:tc>
        <w:tc>
          <w:tcPr>
            <w:tcW w:w="993" w:type="dxa"/>
            <w:vAlign w:val="center"/>
          </w:tcPr>
          <w:p w14:paraId="24F7966B" w14:textId="202DBEE1" w:rsidR="00785E57" w:rsidRPr="00D4590B" w:rsidRDefault="00785E57" w:rsidP="006731D7">
            <w:pPr>
              <w:snapToGrid w:val="0"/>
              <w:spacing w:before="20" w:after="20"/>
              <w:jc w:val="center"/>
              <w:rPr>
                <w:rFonts w:cs="Arial"/>
                <w:sz w:val="20"/>
                <w:lang w:val="en-GB"/>
              </w:rPr>
            </w:pPr>
            <w:r>
              <w:rPr>
                <w:rFonts w:cs="Arial"/>
                <w:sz w:val="20"/>
                <w:lang w:val="en-GB"/>
              </w:rPr>
              <w:t>1</w:t>
            </w:r>
          </w:p>
        </w:tc>
        <w:tc>
          <w:tcPr>
            <w:tcW w:w="1758" w:type="dxa"/>
            <w:vMerge/>
          </w:tcPr>
          <w:p w14:paraId="49524AD5" w14:textId="478F6767" w:rsidR="00785E57" w:rsidRPr="00D4590B" w:rsidRDefault="00785E57" w:rsidP="006731D7">
            <w:pPr>
              <w:snapToGrid w:val="0"/>
              <w:spacing w:before="20" w:after="20"/>
              <w:jc w:val="center"/>
              <w:rPr>
                <w:rFonts w:cs="Arial"/>
                <w:sz w:val="20"/>
                <w:lang w:val="en-GB"/>
              </w:rPr>
            </w:pPr>
          </w:p>
        </w:tc>
      </w:tr>
      <w:tr w:rsidR="00785E57" w:rsidRPr="00D4590B" w14:paraId="29A17D1F" w14:textId="77777777" w:rsidTr="05FC6599">
        <w:tc>
          <w:tcPr>
            <w:tcW w:w="1529" w:type="dxa"/>
            <w:vMerge/>
          </w:tcPr>
          <w:p w14:paraId="266211B3" w14:textId="77777777" w:rsidR="00785E57" w:rsidRPr="00D4590B" w:rsidRDefault="00785E57" w:rsidP="006731D7">
            <w:pPr>
              <w:snapToGrid w:val="0"/>
              <w:spacing w:before="20" w:after="20"/>
              <w:rPr>
                <w:rFonts w:cs="Arial"/>
                <w:sz w:val="20"/>
                <w:lang w:val="en-GB"/>
              </w:rPr>
            </w:pPr>
          </w:p>
        </w:tc>
        <w:tc>
          <w:tcPr>
            <w:tcW w:w="5270" w:type="dxa"/>
          </w:tcPr>
          <w:p w14:paraId="1B4DD406" w14:textId="54B23DF5" w:rsidR="00785E57" w:rsidRPr="00785E57" w:rsidRDefault="00785E57" w:rsidP="006731D7">
            <w:pPr>
              <w:snapToGrid w:val="0"/>
              <w:spacing w:before="20" w:after="20"/>
              <w:rPr>
                <w:rFonts w:cs="Arial"/>
                <w:sz w:val="20"/>
                <w:lang w:val="en-GB"/>
              </w:rPr>
            </w:pPr>
            <w:r w:rsidRPr="00785E57">
              <w:rPr>
                <w:rFonts w:cs="Arial"/>
                <w:sz w:val="20"/>
                <w:lang w:val="en-GB"/>
              </w:rPr>
              <w:t xml:space="preserve">Support to the design </w:t>
            </w:r>
            <w:r w:rsidRPr="00785E57">
              <w:rPr>
                <w:rFonts w:cs="Arial"/>
                <w:sz w:val="20"/>
                <w:lang w:val="en-GB"/>
              </w:rPr>
              <w:t>of at least 34 project proposals for subventions (information on the share of approved project proposals will be communicated to GGLD in due time)</w:t>
            </w:r>
            <w:r w:rsidRPr="00785E57">
              <w:rPr>
                <w:rFonts w:cs="Arial"/>
                <w:sz w:val="20"/>
                <w:lang w:val="en-GB"/>
              </w:rPr>
              <w:t xml:space="preserve"> and </w:t>
            </w:r>
            <w:r w:rsidRPr="00954D9E">
              <w:rPr>
                <w:rFonts w:cs="Arial"/>
                <w:sz w:val="20"/>
                <w:lang w:val="en-GB"/>
              </w:rPr>
              <w:t>34 project proposals which will be implemented by the community (municipality and/or groups of the popula</w:t>
            </w:r>
            <w:r w:rsidRPr="000C72AB">
              <w:rPr>
                <w:rFonts w:cs="Arial"/>
                <w:sz w:val="20"/>
                <w:lang w:val="en-GB"/>
              </w:rPr>
              <w:t>tion) with their own resources</w:t>
            </w:r>
          </w:p>
        </w:tc>
        <w:tc>
          <w:tcPr>
            <w:tcW w:w="993" w:type="dxa"/>
            <w:vAlign w:val="center"/>
          </w:tcPr>
          <w:p w14:paraId="13CBB569" w14:textId="31625EB6" w:rsidR="00785E57" w:rsidRPr="00D4590B" w:rsidRDefault="00785E57" w:rsidP="006731D7">
            <w:pPr>
              <w:snapToGrid w:val="0"/>
              <w:spacing w:before="20" w:after="20"/>
              <w:jc w:val="center"/>
              <w:rPr>
                <w:rFonts w:cs="Arial"/>
                <w:sz w:val="20"/>
                <w:lang w:val="en-GB"/>
              </w:rPr>
            </w:pPr>
            <w:r>
              <w:rPr>
                <w:rFonts w:cs="Arial"/>
                <w:sz w:val="20"/>
                <w:lang w:val="en-GB"/>
              </w:rPr>
              <w:t>68</w:t>
            </w:r>
          </w:p>
        </w:tc>
        <w:tc>
          <w:tcPr>
            <w:tcW w:w="1758" w:type="dxa"/>
            <w:vMerge/>
          </w:tcPr>
          <w:p w14:paraId="08FB3EB6" w14:textId="7EF29127" w:rsidR="00785E57" w:rsidRPr="00D4590B" w:rsidRDefault="00785E57" w:rsidP="006731D7">
            <w:pPr>
              <w:snapToGrid w:val="0"/>
              <w:spacing w:before="20" w:after="20"/>
              <w:jc w:val="center"/>
              <w:rPr>
                <w:rFonts w:cs="Arial"/>
                <w:sz w:val="20"/>
                <w:lang w:val="en-GB"/>
              </w:rPr>
            </w:pPr>
          </w:p>
        </w:tc>
      </w:tr>
      <w:tr w:rsidR="00F83FC4" w:rsidRPr="00D4590B" w14:paraId="7DB414CF" w14:textId="77777777" w:rsidTr="005F6926">
        <w:trPr>
          <w:trHeight w:val="730"/>
        </w:trPr>
        <w:tc>
          <w:tcPr>
            <w:tcW w:w="1529" w:type="dxa"/>
            <w:vMerge/>
          </w:tcPr>
          <w:p w14:paraId="3349E029" w14:textId="77777777" w:rsidR="00F83FC4" w:rsidRPr="00D4590B" w:rsidRDefault="00F83FC4" w:rsidP="006731D7">
            <w:pPr>
              <w:snapToGrid w:val="0"/>
              <w:spacing w:before="20" w:after="20"/>
              <w:rPr>
                <w:rFonts w:cs="Arial"/>
                <w:sz w:val="20"/>
                <w:lang w:val="en-GB"/>
              </w:rPr>
            </w:pPr>
          </w:p>
        </w:tc>
        <w:tc>
          <w:tcPr>
            <w:tcW w:w="5270" w:type="dxa"/>
          </w:tcPr>
          <w:p w14:paraId="34294CD4" w14:textId="3C12E765" w:rsidR="00F83FC4" w:rsidRPr="00D4590B" w:rsidRDefault="00F83FC4" w:rsidP="006731D7">
            <w:pPr>
              <w:snapToGrid w:val="0"/>
              <w:spacing w:before="20" w:after="20"/>
              <w:rPr>
                <w:rFonts w:cs="Arial"/>
                <w:sz w:val="20"/>
                <w:lang w:val="en-GB"/>
              </w:rPr>
            </w:pPr>
            <w:r w:rsidRPr="00485454">
              <w:rPr>
                <w:rFonts w:cs="Arial"/>
                <w:sz w:val="20"/>
                <w:lang w:val="en-GB"/>
              </w:rPr>
              <w:t>Aggregate and specific information on environmentally sustainable LED measures stipulated in the AWPs of all consolidated LSGs</w:t>
            </w:r>
          </w:p>
        </w:tc>
        <w:tc>
          <w:tcPr>
            <w:tcW w:w="993" w:type="dxa"/>
            <w:vAlign w:val="center"/>
          </w:tcPr>
          <w:p w14:paraId="2F7522E1" w14:textId="7275CD28" w:rsidR="00F83FC4" w:rsidRPr="00D4590B" w:rsidRDefault="00F83FC4" w:rsidP="006731D7">
            <w:pPr>
              <w:snapToGrid w:val="0"/>
              <w:spacing w:before="20" w:after="20"/>
              <w:jc w:val="center"/>
              <w:rPr>
                <w:rFonts w:cs="Arial"/>
                <w:sz w:val="20"/>
                <w:lang w:val="en-GB"/>
              </w:rPr>
            </w:pPr>
            <w:r>
              <w:rPr>
                <w:rFonts w:cs="Arial"/>
                <w:sz w:val="20"/>
                <w:lang w:val="en-GB"/>
              </w:rPr>
              <w:t>18</w:t>
            </w:r>
          </w:p>
        </w:tc>
        <w:tc>
          <w:tcPr>
            <w:tcW w:w="1758" w:type="dxa"/>
            <w:vMerge/>
          </w:tcPr>
          <w:p w14:paraId="3BC7DE9E" w14:textId="77777777" w:rsidR="00F83FC4" w:rsidRPr="00D4590B" w:rsidRDefault="00F83FC4" w:rsidP="006731D7">
            <w:pPr>
              <w:snapToGrid w:val="0"/>
              <w:spacing w:before="20" w:after="20"/>
              <w:jc w:val="center"/>
              <w:rPr>
                <w:rFonts w:cs="Arial"/>
                <w:sz w:val="20"/>
                <w:lang w:val="en-GB"/>
              </w:rPr>
            </w:pPr>
          </w:p>
        </w:tc>
      </w:tr>
      <w:tr w:rsidR="00DB4D06" w:rsidRPr="00D4590B" w14:paraId="6AD2C0C1" w14:textId="77777777" w:rsidTr="05FC6599">
        <w:tc>
          <w:tcPr>
            <w:tcW w:w="6799" w:type="dxa"/>
            <w:gridSpan w:val="2"/>
          </w:tcPr>
          <w:p w14:paraId="251101C1" w14:textId="48D98B4E" w:rsidR="00DB4D06" w:rsidRPr="00D4590B" w:rsidRDefault="00DB4D06" w:rsidP="006731D7">
            <w:pPr>
              <w:snapToGrid w:val="0"/>
              <w:spacing w:before="20" w:after="20"/>
              <w:rPr>
                <w:rFonts w:cs="Arial"/>
                <w:sz w:val="20"/>
                <w:lang w:val="en-GB"/>
              </w:rPr>
            </w:pPr>
            <w:r w:rsidRPr="00485454">
              <w:rPr>
                <w:rFonts w:eastAsia="Calibri" w:cs="Arial"/>
                <w:b/>
                <w:sz w:val="20"/>
                <w:lang w:val="en-GB" w:eastAsia="en-US"/>
              </w:rPr>
              <w:t>Sub-total</w:t>
            </w:r>
          </w:p>
        </w:tc>
        <w:tc>
          <w:tcPr>
            <w:tcW w:w="993" w:type="dxa"/>
            <w:vAlign w:val="center"/>
          </w:tcPr>
          <w:p w14:paraId="187D13AB" w14:textId="0FDAE45B" w:rsidR="00DB4D06" w:rsidRPr="00DB4D06" w:rsidRDefault="00CF537D" w:rsidP="006731D7">
            <w:pPr>
              <w:snapToGrid w:val="0"/>
              <w:spacing w:before="20" w:after="20"/>
              <w:jc w:val="center"/>
              <w:rPr>
                <w:rFonts w:cs="Arial"/>
                <w:b/>
                <w:bCs/>
                <w:sz w:val="20"/>
                <w:lang w:val="en-GB"/>
              </w:rPr>
            </w:pPr>
            <w:r w:rsidRPr="00DB4D06">
              <w:rPr>
                <w:rFonts w:cs="Arial"/>
                <w:b/>
                <w:bCs/>
                <w:sz w:val="20"/>
                <w:lang w:val="en-GB"/>
              </w:rPr>
              <w:t>2</w:t>
            </w:r>
            <w:r w:rsidR="002071BE">
              <w:rPr>
                <w:rFonts w:cs="Arial"/>
                <w:b/>
                <w:bCs/>
                <w:sz w:val="20"/>
                <w:lang w:val="en-GB"/>
              </w:rPr>
              <w:t>42</w:t>
            </w:r>
          </w:p>
        </w:tc>
        <w:tc>
          <w:tcPr>
            <w:tcW w:w="1758" w:type="dxa"/>
          </w:tcPr>
          <w:p w14:paraId="116856B3" w14:textId="77777777" w:rsidR="00DB4D06" w:rsidRPr="00D4590B" w:rsidRDefault="00DB4D06" w:rsidP="006731D7">
            <w:pPr>
              <w:snapToGrid w:val="0"/>
              <w:spacing w:before="20" w:after="20"/>
              <w:jc w:val="center"/>
              <w:rPr>
                <w:rFonts w:cs="Arial"/>
                <w:sz w:val="20"/>
                <w:lang w:val="en-GB"/>
              </w:rPr>
            </w:pPr>
          </w:p>
        </w:tc>
      </w:tr>
      <w:tr w:rsidR="002C3CD3" w:rsidRPr="00D4590B" w14:paraId="0CB2C744" w14:textId="77777777" w:rsidTr="05FC6599">
        <w:tc>
          <w:tcPr>
            <w:tcW w:w="1529" w:type="dxa"/>
            <w:vMerge w:val="restart"/>
            <w:vAlign w:val="center"/>
          </w:tcPr>
          <w:p w14:paraId="055F24B6" w14:textId="77777777" w:rsidR="002C3CD3" w:rsidRPr="00DB4D06" w:rsidRDefault="002C3CD3" w:rsidP="006731D7">
            <w:pPr>
              <w:snapToGrid w:val="0"/>
              <w:spacing w:before="20" w:after="20"/>
              <w:rPr>
                <w:rFonts w:cs="Arial"/>
                <w:b/>
                <w:sz w:val="20"/>
                <w:lang w:val="en-GB"/>
              </w:rPr>
            </w:pPr>
            <w:r w:rsidRPr="00DB4D06">
              <w:rPr>
                <w:rFonts w:cs="Arial"/>
                <w:b/>
                <w:sz w:val="20"/>
                <w:lang w:val="en-GB"/>
              </w:rPr>
              <w:t>Task 2</w:t>
            </w:r>
          </w:p>
          <w:p w14:paraId="377F8B2F" w14:textId="2E100BCC" w:rsidR="002C3CD3" w:rsidRPr="00D4590B" w:rsidRDefault="002C3CD3" w:rsidP="006731D7">
            <w:pPr>
              <w:snapToGrid w:val="0"/>
              <w:spacing w:before="20" w:after="20"/>
              <w:rPr>
                <w:rFonts w:cs="Arial"/>
                <w:sz w:val="20"/>
                <w:lang w:val="en-GB"/>
              </w:rPr>
            </w:pPr>
            <w:r w:rsidRPr="00DB4D06">
              <w:rPr>
                <w:rFonts w:cs="Arial"/>
                <w:sz w:val="20"/>
                <w:lang w:val="en-GB"/>
              </w:rPr>
              <w:t>Capacity Development to LED Core Group</w:t>
            </w:r>
          </w:p>
        </w:tc>
        <w:tc>
          <w:tcPr>
            <w:tcW w:w="5270" w:type="dxa"/>
          </w:tcPr>
          <w:p w14:paraId="330B60FE" w14:textId="43DDC724" w:rsidR="002C3CD3" w:rsidRPr="00D4590B" w:rsidRDefault="002C3CD3" w:rsidP="006731D7">
            <w:pPr>
              <w:snapToGrid w:val="0"/>
              <w:spacing w:before="20" w:after="20"/>
              <w:rPr>
                <w:rFonts w:cs="Arial"/>
                <w:sz w:val="20"/>
                <w:lang w:val="en-GB"/>
              </w:rPr>
            </w:pPr>
            <w:r w:rsidRPr="05FC6599">
              <w:rPr>
                <w:rFonts w:cs="Arial"/>
                <w:sz w:val="20"/>
                <w:lang w:val="en-GB"/>
              </w:rPr>
              <w:t>Design and piloting of an approach for exemplary BFC in 15 municipalities, and provision of a summary report for 20 LSGs (these 15 municipalities plus 5 more covered in 2020)</w:t>
            </w:r>
          </w:p>
        </w:tc>
        <w:tc>
          <w:tcPr>
            <w:tcW w:w="993" w:type="dxa"/>
            <w:vAlign w:val="center"/>
          </w:tcPr>
          <w:p w14:paraId="5694BEB9" w14:textId="4332B01C" w:rsidR="002C3CD3" w:rsidRPr="00D4590B" w:rsidRDefault="002C3CD3" w:rsidP="006731D7">
            <w:pPr>
              <w:snapToGrid w:val="0"/>
              <w:spacing w:before="20" w:after="20"/>
              <w:jc w:val="center"/>
              <w:rPr>
                <w:rFonts w:cs="Arial"/>
                <w:sz w:val="20"/>
                <w:lang w:val="en-GB"/>
              </w:rPr>
            </w:pPr>
            <w:r>
              <w:rPr>
                <w:rFonts w:cs="Arial"/>
                <w:sz w:val="20"/>
                <w:lang w:val="en-GB"/>
              </w:rPr>
              <w:t>15</w:t>
            </w:r>
          </w:p>
        </w:tc>
        <w:tc>
          <w:tcPr>
            <w:tcW w:w="1758" w:type="dxa"/>
            <w:vMerge w:val="restart"/>
            <w:vAlign w:val="center"/>
          </w:tcPr>
          <w:p w14:paraId="23659FDE" w14:textId="5F811753" w:rsidR="002C3CD3" w:rsidRPr="00D4590B" w:rsidRDefault="2435A6BA" w:rsidP="006731D7">
            <w:pPr>
              <w:snapToGrid w:val="0"/>
              <w:spacing w:before="20" w:after="20"/>
              <w:jc w:val="center"/>
              <w:rPr>
                <w:rFonts w:cs="Arial"/>
                <w:sz w:val="20"/>
                <w:lang w:val="en-GB"/>
              </w:rPr>
            </w:pPr>
            <w:r w:rsidRPr="05FC6599">
              <w:rPr>
                <w:rFonts w:eastAsia="Calibri" w:cs="Arial"/>
                <w:sz w:val="20"/>
                <w:lang w:val="en-GB" w:eastAsia="en-US"/>
              </w:rPr>
              <w:t>February</w:t>
            </w:r>
            <w:r w:rsidR="002C3CD3" w:rsidRPr="05FC6599">
              <w:rPr>
                <w:rFonts w:eastAsia="Calibri" w:cs="Arial"/>
                <w:sz w:val="20"/>
                <w:lang w:val="en-GB" w:eastAsia="en-US"/>
              </w:rPr>
              <w:t xml:space="preserve"> 202</w:t>
            </w:r>
            <w:r w:rsidR="68F61B64" w:rsidRPr="05FC6599">
              <w:rPr>
                <w:rFonts w:eastAsia="Calibri" w:cs="Arial"/>
                <w:sz w:val="20"/>
                <w:lang w:val="en-GB" w:eastAsia="en-US"/>
              </w:rPr>
              <w:t>2</w:t>
            </w:r>
          </w:p>
        </w:tc>
      </w:tr>
      <w:tr w:rsidR="002C3CD3" w:rsidRPr="00D4590B" w14:paraId="639EE22F" w14:textId="77777777" w:rsidTr="05FC6599">
        <w:tc>
          <w:tcPr>
            <w:tcW w:w="1529" w:type="dxa"/>
            <w:vMerge/>
          </w:tcPr>
          <w:p w14:paraId="1B2E2E78" w14:textId="77777777" w:rsidR="002C3CD3" w:rsidRPr="00DB4D06" w:rsidRDefault="002C3CD3" w:rsidP="006731D7">
            <w:pPr>
              <w:snapToGrid w:val="0"/>
              <w:spacing w:before="20" w:after="20"/>
              <w:rPr>
                <w:rFonts w:cs="Arial"/>
                <w:b/>
                <w:sz w:val="20"/>
                <w:lang w:val="en-GB"/>
              </w:rPr>
            </w:pPr>
          </w:p>
        </w:tc>
        <w:tc>
          <w:tcPr>
            <w:tcW w:w="5270" w:type="dxa"/>
          </w:tcPr>
          <w:p w14:paraId="55B97BB2" w14:textId="5FCE5C14" w:rsidR="002C3CD3" w:rsidRPr="006731D7" w:rsidRDefault="002C3CD3" w:rsidP="006731D7">
            <w:pPr>
              <w:snapToGrid w:val="0"/>
              <w:spacing w:before="20" w:after="20"/>
              <w:rPr>
                <w:rFonts w:cs="Arial"/>
                <w:sz w:val="20"/>
                <w:lang w:val="en-GB"/>
              </w:rPr>
            </w:pPr>
            <w:r w:rsidRPr="006731D7">
              <w:rPr>
                <w:rFonts w:cs="Arial"/>
                <w:sz w:val="20"/>
                <w:lang w:val="en-GB"/>
              </w:rPr>
              <w:t>Stock taking/inventory of existing methodologies, processes, and tools available to LED;</w:t>
            </w:r>
          </w:p>
        </w:tc>
        <w:tc>
          <w:tcPr>
            <w:tcW w:w="993" w:type="dxa"/>
            <w:vAlign w:val="center"/>
          </w:tcPr>
          <w:p w14:paraId="47CB4E28" w14:textId="6EBA2CBC" w:rsidR="002C3CD3" w:rsidRPr="006731D7" w:rsidRDefault="6B71E0CF" w:rsidP="006731D7">
            <w:pPr>
              <w:spacing w:before="20" w:after="20"/>
              <w:jc w:val="center"/>
              <w:rPr>
                <w:szCs w:val="22"/>
                <w:highlight w:val="yellow"/>
                <w:lang w:val="en-GB"/>
              </w:rPr>
            </w:pPr>
            <w:r w:rsidRPr="006731D7">
              <w:rPr>
                <w:rFonts w:cs="Arial"/>
                <w:sz w:val="20"/>
                <w:lang w:val="en-GB"/>
              </w:rPr>
              <w:t>15</w:t>
            </w:r>
          </w:p>
        </w:tc>
        <w:tc>
          <w:tcPr>
            <w:tcW w:w="1758" w:type="dxa"/>
            <w:vMerge/>
          </w:tcPr>
          <w:p w14:paraId="5D821CFC" w14:textId="77777777" w:rsidR="002C3CD3" w:rsidRPr="00D4590B" w:rsidRDefault="002C3CD3" w:rsidP="006731D7">
            <w:pPr>
              <w:snapToGrid w:val="0"/>
              <w:spacing w:before="20" w:after="20"/>
              <w:jc w:val="center"/>
              <w:rPr>
                <w:rFonts w:cs="Arial"/>
                <w:sz w:val="20"/>
                <w:lang w:val="en-GB"/>
              </w:rPr>
            </w:pPr>
          </w:p>
        </w:tc>
      </w:tr>
      <w:tr w:rsidR="002C3CD3" w:rsidRPr="00D4590B" w14:paraId="33EBD361" w14:textId="77777777" w:rsidTr="05FC6599">
        <w:tc>
          <w:tcPr>
            <w:tcW w:w="1529" w:type="dxa"/>
            <w:vMerge/>
          </w:tcPr>
          <w:p w14:paraId="53C39BB0" w14:textId="77777777" w:rsidR="002C3CD3" w:rsidRPr="00DB4D06" w:rsidRDefault="002C3CD3" w:rsidP="006731D7">
            <w:pPr>
              <w:snapToGrid w:val="0"/>
              <w:spacing w:before="20" w:after="20"/>
              <w:rPr>
                <w:rFonts w:cs="Arial"/>
                <w:b/>
                <w:sz w:val="20"/>
                <w:lang w:val="en-GB"/>
              </w:rPr>
            </w:pPr>
          </w:p>
        </w:tc>
        <w:tc>
          <w:tcPr>
            <w:tcW w:w="5270" w:type="dxa"/>
          </w:tcPr>
          <w:p w14:paraId="1238960B" w14:textId="4A3D1276" w:rsidR="002C3CD3" w:rsidRPr="006731D7" w:rsidRDefault="002C3CD3" w:rsidP="006731D7">
            <w:pPr>
              <w:snapToGrid w:val="0"/>
              <w:spacing w:before="20" w:after="20"/>
              <w:rPr>
                <w:rFonts w:cs="Arial"/>
                <w:sz w:val="20"/>
                <w:lang w:val="en-GB"/>
              </w:rPr>
            </w:pPr>
            <w:r w:rsidRPr="006731D7">
              <w:rPr>
                <w:rFonts w:cs="Arial"/>
                <w:sz w:val="20"/>
                <w:lang w:val="en-GB"/>
              </w:rPr>
              <w:t>Training needs assessment for LED officers across the country</w:t>
            </w:r>
          </w:p>
        </w:tc>
        <w:tc>
          <w:tcPr>
            <w:tcW w:w="993" w:type="dxa"/>
            <w:vAlign w:val="center"/>
          </w:tcPr>
          <w:p w14:paraId="1FE0D514" w14:textId="0899AD0E" w:rsidR="002C3CD3" w:rsidRPr="006731D7" w:rsidRDefault="002C3CD3" w:rsidP="006731D7">
            <w:pPr>
              <w:snapToGrid w:val="0"/>
              <w:spacing w:before="20" w:after="20"/>
              <w:jc w:val="center"/>
              <w:rPr>
                <w:rFonts w:cs="Arial"/>
                <w:sz w:val="20"/>
                <w:highlight w:val="yellow"/>
                <w:lang w:val="en-GB"/>
              </w:rPr>
            </w:pPr>
            <w:r w:rsidRPr="006731D7">
              <w:rPr>
                <w:rFonts w:cs="Arial"/>
                <w:sz w:val="20"/>
                <w:lang w:val="en-GB"/>
              </w:rPr>
              <w:t>4</w:t>
            </w:r>
          </w:p>
        </w:tc>
        <w:tc>
          <w:tcPr>
            <w:tcW w:w="1758" w:type="dxa"/>
            <w:vMerge/>
          </w:tcPr>
          <w:p w14:paraId="0F5B12C5" w14:textId="77777777" w:rsidR="002C3CD3" w:rsidRPr="00D4590B" w:rsidRDefault="002C3CD3" w:rsidP="006731D7">
            <w:pPr>
              <w:snapToGrid w:val="0"/>
              <w:spacing w:before="20" w:after="20"/>
              <w:jc w:val="center"/>
              <w:rPr>
                <w:rFonts w:cs="Arial"/>
                <w:sz w:val="20"/>
                <w:lang w:val="en-GB"/>
              </w:rPr>
            </w:pPr>
          </w:p>
        </w:tc>
      </w:tr>
      <w:tr w:rsidR="002C3CD3" w:rsidRPr="00D4590B" w14:paraId="2851490C" w14:textId="77777777" w:rsidTr="05FC6599">
        <w:tc>
          <w:tcPr>
            <w:tcW w:w="1529" w:type="dxa"/>
            <w:vMerge/>
          </w:tcPr>
          <w:p w14:paraId="03B0FDB0" w14:textId="77777777" w:rsidR="002C3CD3" w:rsidRPr="00DB4D06" w:rsidRDefault="002C3CD3" w:rsidP="006731D7">
            <w:pPr>
              <w:snapToGrid w:val="0"/>
              <w:spacing w:before="20" w:after="20"/>
              <w:rPr>
                <w:rFonts w:cs="Arial"/>
                <w:b/>
                <w:sz w:val="20"/>
                <w:lang w:val="en-GB"/>
              </w:rPr>
            </w:pPr>
          </w:p>
        </w:tc>
        <w:tc>
          <w:tcPr>
            <w:tcW w:w="5270" w:type="dxa"/>
          </w:tcPr>
          <w:p w14:paraId="3800F645" w14:textId="27E7C4AF" w:rsidR="002C3CD3" w:rsidRPr="006731D7" w:rsidRDefault="002C3CD3" w:rsidP="006731D7">
            <w:pPr>
              <w:snapToGrid w:val="0"/>
              <w:spacing w:before="20" w:after="20"/>
              <w:rPr>
                <w:rFonts w:cs="Arial"/>
                <w:sz w:val="20"/>
                <w:lang w:val="en-GB"/>
              </w:rPr>
            </w:pPr>
            <w:r w:rsidRPr="006731D7">
              <w:rPr>
                <w:rFonts w:cs="Arial"/>
                <w:sz w:val="20"/>
                <w:lang w:val="en-GB"/>
              </w:rPr>
              <w:t>Concept Paper: Role of LED officers in local economic development</w:t>
            </w:r>
          </w:p>
        </w:tc>
        <w:tc>
          <w:tcPr>
            <w:tcW w:w="993" w:type="dxa"/>
            <w:vAlign w:val="center"/>
          </w:tcPr>
          <w:p w14:paraId="17F48ACA" w14:textId="5F893BAE" w:rsidR="002C3CD3" w:rsidRPr="006731D7" w:rsidRDefault="41682285" w:rsidP="006731D7">
            <w:pPr>
              <w:spacing w:before="20" w:after="20"/>
              <w:jc w:val="center"/>
              <w:rPr>
                <w:szCs w:val="22"/>
                <w:highlight w:val="yellow"/>
                <w:lang w:val="en-GB"/>
              </w:rPr>
            </w:pPr>
            <w:r w:rsidRPr="006731D7">
              <w:rPr>
                <w:rFonts w:cs="Arial"/>
                <w:sz w:val="20"/>
                <w:lang w:val="en-GB"/>
              </w:rPr>
              <w:t>2</w:t>
            </w:r>
            <w:r w:rsidR="00E37991">
              <w:rPr>
                <w:rFonts w:cs="Arial"/>
                <w:sz w:val="20"/>
                <w:lang w:val="en-GB"/>
              </w:rPr>
              <w:t>0</w:t>
            </w:r>
          </w:p>
        </w:tc>
        <w:tc>
          <w:tcPr>
            <w:tcW w:w="1758" w:type="dxa"/>
            <w:vMerge/>
          </w:tcPr>
          <w:p w14:paraId="1B7D1312" w14:textId="77777777" w:rsidR="002C3CD3" w:rsidRPr="00D4590B" w:rsidRDefault="002C3CD3" w:rsidP="006731D7">
            <w:pPr>
              <w:snapToGrid w:val="0"/>
              <w:spacing w:before="20" w:after="20"/>
              <w:jc w:val="center"/>
              <w:rPr>
                <w:rFonts w:cs="Arial"/>
                <w:sz w:val="20"/>
                <w:lang w:val="en-GB"/>
              </w:rPr>
            </w:pPr>
          </w:p>
        </w:tc>
      </w:tr>
      <w:tr w:rsidR="002C3CD3" w:rsidRPr="00D4590B" w14:paraId="2D35FA6F" w14:textId="77777777" w:rsidTr="05FC6599">
        <w:tc>
          <w:tcPr>
            <w:tcW w:w="1529" w:type="dxa"/>
            <w:vMerge/>
          </w:tcPr>
          <w:p w14:paraId="44BB57AB" w14:textId="77777777" w:rsidR="002C3CD3" w:rsidRPr="00DB4D06" w:rsidRDefault="002C3CD3" w:rsidP="006731D7">
            <w:pPr>
              <w:snapToGrid w:val="0"/>
              <w:spacing w:before="20" w:after="20"/>
              <w:rPr>
                <w:rFonts w:cs="Arial"/>
                <w:b/>
                <w:sz w:val="20"/>
                <w:lang w:val="en-GB"/>
              </w:rPr>
            </w:pPr>
          </w:p>
        </w:tc>
        <w:tc>
          <w:tcPr>
            <w:tcW w:w="5270" w:type="dxa"/>
          </w:tcPr>
          <w:p w14:paraId="621F0573" w14:textId="0E4876FD" w:rsidR="002C3CD3" w:rsidRPr="00DB4D06" w:rsidRDefault="002C3CD3" w:rsidP="006731D7">
            <w:pPr>
              <w:snapToGrid w:val="0"/>
              <w:spacing w:before="20" w:after="20"/>
              <w:rPr>
                <w:rFonts w:cs="Arial"/>
                <w:sz w:val="20"/>
                <w:lang w:val="en-GB"/>
              </w:rPr>
            </w:pPr>
            <w:r w:rsidRPr="05FC6599">
              <w:rPr>
                <w:rFonts w:cs="Arial"/>
                <w:sz w:val="20"/>
                <w:lang w:val="en-GB"/>
              </w:rPr>
              <w:t xml:space="preserve">Preparation and delivery of at least two thematic trainings from the list of identified training needs for the </w:t>
            </w:r>
            <w:r w:rsidRPr="05FC6599">
              <w:rPr>
                <w:rFonts w:cs="Arial"/>
                <w:sz w:val="20"/>
                <w:lang w:val="en-GB"/>
              </w:rPr>
              <w:lastRenderedPageBreak/>
              <w:t>LED Core Group (including agenda and other accompanying documents)</w:t>
            </w:r>
          </w:p>
        </w:tc>
        <w:tc>
          <w:tcPr>
            <w:tcW w:w="993" w:type="dxa"/>
          </w:tcPr>
          <w:p w14:paraId="5B20EDCF" w14:textId="017132E3" w:rsidR="002C3CD3" w:rsidRPr="00D4590B" w:rsidRDefault="002C3CD3" w:rsidP="006731D7">
            <w:pPr>
              <w:snapToGrid w:val="0"/>
              <w:spacing w:before="20" w:after="20"/>
              <w:jc w:val="center"/>
              <w:rPr>
                <w:rFonts w:cs="Arial"/>
                <w:sz w:val="20"/>
                <w:lang w:val="en-GB"/>
              </w:rPr>
            </w:pPr>
            <w:r>
              <w:rPr>
                <w:rFonts w:cs="Arial"/>
                <w:sz w:val="20"/>
                <w:lang w:val="en-GB"/>
              </w:rPr>
              <w:lastRenderedPageBreak/>
              <w:t>3</w:t>
            </w:r>
          </w:p>
        </w:tc>
        <w:tc>
          <w:tcPr>
            <w:tcW w:w="1758" w:type="dxa"/>
            <w:vMerge/>
          </w:tcPr>
          <w:p w14:paraId="195000A8" w14:textId="77777777" w:rsidR="002C3CD3" w:rsidRPr="00D4590B" w:rsidRDefault="002C3CD3" w:rsidP="006731D7">
            <w:pPr>
              <w:snapToGrid w:val="0"/>
              <w:spacing w:before="20" w:after="20"/>
              <w:jc w:val="center"/>
              <w:rPr>
                <w:rFonts w:cs="Arial"/>
                <w:sz w:val="20"/>
                <w:lang w:val="en-GB"/>
              </w:rPr>
            </w:pPr>
          </w:p>
        </w:tc>
      </w:tr>
      <w:tr w:rsidR="002C3CD3" w:rsidRPr="00D4590B" w14:paraId="6ADACA8F" w14:textId="77777777" w:rsidTr="05FC6599">
        <w:tc>
          <w:tcPr>
            <w:tcW w:w="6799" w:type="dxa"/>
            <w:gridSpan w:val="2"/>
          </w:tcPr>
          <w:p w14:paraId="2D2D4F75" w14:textId="42AA5226" w:rsidR="002C3CD3" w:rsidRPr="00DB4D06" w:rsidRDefault="002C3CD3" w:rsidP="006731D7">
            <w:pPr>
              <w:snapToGrid w:val="0"/>
              <w:spacing w:before="20" w:after="20"/>
              <w:rPr>
                <w:rFonts w:cs="Arial"/>
                <w:sz w:val="20"/>
                <w:lang w:val="en-GB"/>
              </w:rPr>
            </w:pPr>
            <w:r>
              <w:rPr>
                <w:rFonts w:cs="Arial"/>
                <w:b/>
                <w:sz w:val="20"/>
                <w:lang w:val="en-GB"/>
              </w:rPr>
              <w:t>Sub-total</w:t>
            </w:r>
          </w:p>
        </w:tc>
        <w:tc>
          <w:tcPr>
            <w:tcW w:w="993" w:type="dxa"/>
          </w:tcPr>
          <w:p w14:paraId="3E4DF619" w14:textId="40117592" w:rsidR="002C3CD3" w:rsidRPr="002C3CD3" w:rsidRDefault="00E37991" w:rsidP="006731D7">
            <w:pPr>
              <w:snapToGrid w:val="0"/>
              <w:spacing w:before="20" w:after="20"/>
              <w:jc w:val="center"/>
              <w:rPr>
                <w:rFonts w:cs="Arial"/>
                <w:b/>
                <w:bCs/>
                <w:sz w:val="20"/>
                <w:lang w:val="en-GB"/>
              </w:rPr>
            </w:pPr>
            <w:r>
              <w:rPr>
                <w:rFonts w:cs="Arial"/>
                <w:b/>
                <w:bCs/>
                <w:sz w:val="20"/>
                <w:lang w:val="en-GB"/>
              </w:rPr>
              <w:t>57</w:t>
            </w:r>
          </w:p>
        </w:tc>
        <w:tc>
          <w:tcPr>
            <w:tcW w:w="1758" w:type="dxa"/>
          </w:tcPr>
          <w:p w14:paraId="4FE6F892" w14:textId="77777777" w:rsidR="002C3CD3" w:rsidRPr="00D4590B" w:rsidRDefault="002C3CD3" w:rsidP="006731D7">
            <w:pPr>
              <w:snapToGrid w:val="0"/>
              <w:spacing w:before="20" w:after="20"/>
              <w:jc w:val="center"/>
              <w:rPr>
                <w:rFonts w:cs="Arial"/>
                <w:sz w:val="20"/>
                <w:lang w:val="en-GB"/>
              </w:rPr>
            </w:pPr>
          </w:p>
        </w:tc>
      </w:tr>
      <w:tr w:rsidR="002C3CD3" w:rsidRPr="00D4590B" w14:paraId="1DC029C7" w14:textId="77777777" w:rsidTr="05FC6599">
        <w:tc>
          <w:tcPr>
            <w:tcW w:w="1529" w:type="dxa"/>
            <w:vMerge w:val="restart"/>
          </w:tcPr>
          <w:p w14:paraId="349582AF" w14:textId="77777777" w:rsidR="002C3CD3" w:rsidRPr="002C3CD3" w:rsidRDefault="002C3CD3" w:rsidP="006731D7">
            <w:pPr>
              <w:snapToGrid w:val="0"/>
              <w:spacing w:before="20" w:after="20"/>
              <w:rPr>
                <w:rFonts w:cs="Arial"/>
                <w:b/>
                <w:sz w:val="20"/>
                <w:lang w:val="en-GB"/>
              </w:rPr>
            </w:pPr>
            <w:r w:rsidRPr="002C3CD3">
              <w:rPr>
                <w:rFonts w:cs="Arial"/>
                <w:b/>
                <w:sz w:val="20"/>
                <w:lang w:val="en-GB"/>
              </w:rPr>
              <w:t>Task 3</w:t>
            </w:r>
          </w:p>
          <w:p w14:paraId="66C347B7" w14:textId="77777777" w:rsidR="002C3CD3" w:rsidRPr="002C3CD3" w:rsidRDefault="002C3CD3" w:rsidP="006731D7">
            <w:pPr>
              <w:snapToGrid w:val="0"/>
              <w:spacing w:before="20" w:after="20"/>
              <w:rPr>
                <w:rFonts w:cs="Arial"/>
                <w:bCs/>
                <w:sz w:val="20"/>
                <w:lang w:val="en-GB"/>
              </w:rPr>
            </w:pPr>
            <w:r w:rsidRPr="002C3CD3">
              <w:rPr>
                <w:rFonts w:cs="Arial"/>
                <w:bCs/>
                <w:sz w:val="20"/>
                <w:lang w:val="en-GB"/>
              </w:rPr>
              <w:t>Review of the existing subventions scheme</w:t>
            </w:r>
          </w:p>
          <w:p w14:paraId="67B9B815" w14:textId="77777777" w:rsidR="002C3CD3" w:rsidRDefault="002C3CD3" w:rsidP="006731D7">
            <w:pPr>
              <w:snapToGrid w:val="0"/>
              <w:spacing w:before="20" w:after="20"/>
              <w:rPr>
                <w:rFonts w:cs="Arial"/>
                <w:b/>
                <w:sz w:val="20"/>
                <w:lang w:val="en-GB"/>
              </w:rPr>
            </w:pPr>
          </w:p>
        </w:tc>
        <w:tc>
          <w:tcPr>
            <w:tcW w:w="5270" w:type="dxa"/>
          </w:tcPr>
          <w:p w14:paraId="5AD7FE34" w14:textId="27A06DBD" w:rsidR="002C3CD3" w:rsidRPr="00DB4D06" w:rsidRDefault="002C3CD3" w:rsidP="006731D7">
            <w:pPr>
              <w:snapToGrid w:val="0"/>
              <w:spacing w:before="20" w:after="20"/>
              <w:rPr>
                <w:rFonts w:cs="Arial"/>
                <w:sz w:val="20"/>
                <w:lang w:val="en-GB"/>
              </w:rPr>
            </w:pPr>
            <w:r w:rsidRPr="002C3CD3">
              <w:rPr>
                <w:rFonts w:cs="Arial"/>
                <w:sz w:val="20"/>
                <w:lang w:val="en-GB"/>
              </w:rPr>
              <w:t>Review of the existing subventions scheme</w:t>
            </w:r>
          </w:p>
        </w:tc>
        <w:tc>
          <w:tcPr>
            <w:tcW w:w="993" w:type="dxa"/>
            <w:vAlign w:val="center"/>
          </w:tcPr>
          <w:p w14:paraId="2B400568" w14:textId="6EDFDEFC" w:rsidR="002C3CD3" w:rsidRDefault="00BA109E" w:rsidP="006731D7">
            <w:pPr>
              <w:snapToGrid w:val="0"/>
              <w:spacing w:before="20" w:after="20"/>
              <w:jc w:val="center"/>
              <w:rPr>
                <w:rFonts w:cs="Arial"/>
                <w:sz w:val="20"/>
                <w:lang w:val="en-GB"/>
              </w:rPr>
            </w:pPr>
            <w:r>
              <w:rPr>
                <w:rFonts w:cs="Arial"/>
                <w:sz w:val="20"/>
                <w:lang w:val="en-GB"/>
              </w:rPr>
              <w:t>8</w:t>
            </w:r>
          </w:p>
        </w:tc>
        <w:tc>
          <w:tcPr>
            <w:tcW w:w="1758" w:type="dxa"/>
            <w:vMerge w:val="restart"/>
            <w:vAlign w:val="center"/>
          </w:tcPr>
          <w:p w14:paraId="521C2B91" w14:textId="56BF0813" w:rsidR="002C3CD3" w:rsidRPr="00D4590B" w:rsidRDefault="002C3CD3" w:rsidP="006731D7">
            <w:pPr>
              <w:snapToGrid w:val="0"/>
              <w:spacing w:before="20" w:after="20"/>
              <w:jc w:val="center"/>
              <w:rPr>
                <w:rFonts w:cs="Arial"/>
                <w:sz w:val="20"/>
                <w:lang w:val="en-GB"/>
              </w:rPr>
            </w:pPr>
            <w:r w:rsidRPr="002C3CD3">
              <w:rPr>
                <w:rFonts w:cs="Arial"/>
                <w:sz w:val="20"/>
                <w:lang w:val="en-GB"/>
              </w:rPr>
              <w:t>October 2021</w:t>
            </w:r>
          </w:p>
        </w:tc>
      </w:tr>
      <w:tr w:rsidR="002C3CD3" w:rsidRPr="00D4590B" w14:paraId="59FD16AE" w14:textId="77777777" w:rsidTr="05FC6599">
        <w:tc>
          <w:tcPr>
            <w:tcW w:w="1529" w:type="dxa"/>
            <w:vMerge/>
          </w:tcPr>
          <w:p w14:paraId="40310643" w14:textId="77777777" w:rsidR="002C3CD3" w:rsidRDefault="002C3CD3" w:rsidP="006731D7">
            <w:pPr>
              <w:snapToGrid w:val="0"/>
              <w:spacing w:before="20" w:after="20"/>
              <w:rPr>
                <w:rFonts w:cs="Arial"/>
                <w:b/>
                <w:sz w:val="20"/>
                <w:lang w:val="en-GB"/>
              </w:rPr>
            </w:pPr>
          </w:p>
        </w:tc>
        <w:tc>
          <w:tcPr>
            <w:tcW w:w="5270" w:type="dxa"/>
          </w:tcPr>
          <w:p w14:paraId="33CA0C56" w14:textId="4E5B2834" w:rsidR="002C3CD3" w:rsidRPr="00DB4D06" w:rsidRDefault="002C3CD3" w:rsidP="006731D7">
            <w:pPr>
              <w:snapToGrid w:val="0"/>
              <w:spacing w:before="20" w:after="20"/>
              <w:rPr>
                <w:rFonts w:cs="Arial"/>
                <w:sz w:val="20"/>
                <w:lang w:val="en-GB"/>
              </w:rPr>
            </w:pPr>
            <w:r w:rsidRPr="002C3CD3">
              <w:rPr>
                <w:rFonts w:cs="Arial"/>
                <w:sz w:val="20"/>
                <w:lang w:val="en-GB"/>
              </w:rPr>
              <w:t>Development of a system of benchmarking efficiency of subvention scheme</w:t>
            </w:r>
          </w:p>
        </w:tc>
        <w:tc>
          <w:tcPr>
            <w:tcW w:w="993" w:type="dxa"/>
            <w:vAlign w:val="center"/>
          </w:tcPr>
          <w:p w14:paraId="69480A78" w14:textId="46981A01" w:rsidR="002C3CD3" w:rsidRDefault="002C3CD3" w:rsidP="006731D7">
            <w:pPr>
              <w:snapToGrid w:val="0"/>
              <w:spacing w:before="20" w:after="20"/>
              <w:jc w:val="center"/>
              <w:rPr>
                <w:rFonts w:cs="Arial"/>
                <w:sz w:val="20"/>
                <w:lang w:val="en-GB"/>
              </w:rPr>
            </w:pPr>
            <w:r>
              <w:rPr>
                <w:rFonts w:cs="Arial"/>
                <w:sz w:val="20"/>
                <w:lang w:val="en-GB"/>
              </w:rPr>
              <w:t>10</w:t>
            </w:r>
          </w:p>
        </w:tc>
        <w:tc>
          <w:tcPr>
            <w:tcW w:w="1758" w:type="dxa"/>
            <w:vMerge/>
          </w:tcPr>
          <w:p w14:paraId="0BC68586" w14:textId="77777777" w:rsidR="002C3CD3" w:rsidRPr="00D4590B" w:rsidRDefault="002C3CD3" w:rsidP="006731D7">
            <w:pPr>
              <w:snapToGrid w:val="0"/>
              <w:spacing w:before="20" w:after="20"/>
              <w:jc w:val="center"/>
              <w:rPr>
                <w:rFonts w:cs="Arial"/>
                <w:sz w:val="20"/>
                <w:lang w:val="en-GB"/>
              </w:rPr>
            </w:pPr>
          </w:p>
        </w:tc>
      </w:tr>
      <w:tr w:rsidR="002C3CD3" w:rsidRPr="00D4590B" w14:paraId="0A0CA7EE" w14:textId="77777777" w:rsidTr="05FC6599">
        <w:tc>
          <w:tcPr>
            <w:tcW w:w="1529" w:type="dxa"/>
            <w:vMerge/>
          </w:tcPr>
          <w:p w14:paraId="7726FF1F" w14:textId="77777777" w:rsidR="002C3CD3" w:rsidRDefault="002C3CD3" w:rsidP="006731D7">
            <w:pPr>
              <w:snapToGrid w:val="0"/>
              <w:spacing w:before="20" w:after="20"/>
              <w:rPr>
                <w:rFonts w:cs="Arial"/>
                <w:b/>
                <w:sz w:val="20"/>
                <w:lang w:val="en-GB"/>
              </w:rPr>
            </w:pPr>
          </w:p>
        </w:tc>
        <w:tc>
          <w:tcPr>
            <w:tcW w:w="5270" w:type="dxa"/>
          </w:tcPr>
          <w:p w14:paraId="2E164F0D" w14:textId="3BCF6A92" w:rsidR="002C3CD3" w:rsidRPr="002C3CD3" w:rsidRDefault="002C3CD3" w:rsidP="006731D7">
            <w:pPr>
              <w:snapToGrid w:val="0"/>
              <w:spacing w:before="20" w:after="20"/>
              <w:rPr>
                <w:rFonts w:cs="Arial"/>
                <w:sz w:val="20"/>
                <w:lang w:val="en-GB"/>
              </w:rPr>
            </w:pPr>
            <w:r>
              <w:rPr>
                <w:rFonts w:cs="Arial"/>
                <w:sz w:val="20"/>
                <w:lang w:val="en-GB"/>
              </w:rPr>
              <w:t>D</w:t>
            </w:r>
            <w:r w:rsidRPr="002C3CD3">
              <w:rPr>
                <w:rFonts w:cs="Arial"/>
                <w:sz w:val="20"/>
                <w:lang w:val="en-GB"/>
              </w:rPr>
              <w:t>esign of templates for subvention projects, including rapid analyses tools</w:t>
            </w:r>
          </w:p>
        </w:tc>
        <w:tc>
          <w:tcPr>
            <w:tcW w:w="993" w:type="dxa"/>
            <w:vAlign w:val="center"/>
          </w:tcPr>
          <w:p w14:paraId="28E36796" w14:textId="542A7AD1" w:rsidR="002C3CD3" w:rsidRDefault="002C3CD3" w:rsidP="006731D7">
            <w:pPr>
              <w:snapToGrid w:val="0"/>
              <w:spacing w:before="20" w:after="20"/>
              <w:jc w:val="center"/>
              <w:rPr>
                <w:rFonts w:cs="Arial"/>
                <w:sz w:val="20"/>
                <w:lang w:val="en-GB"/>
              </w:rPr>
            </w:pPr>
            <w:r>
              <w:rPr>
                <w:rFonts w:cs="Arial"/>
                <w:sz w:val="20"/>
                <w:lang w:val="en-GB"/>
              </w:rPr>
              <w:t>8</w:t>
            </w:r>
          </w:p>
        </w:tc>
        <w:tc>
          <w:tcPr>
            <w:tcW w:w="1758" w:type="dxa"/>
            <w:vMerge/>
          </w:tcPr>
          <w:p w14:paraId="3709B25F" w14:textId="77777777" w:rsidR="002C3CD3" w:rsidRPr="00D4590B" w:rsidRDefault="002C3CD3" w:rsidP="006731D7">
            <w:pPr>
              <w:snapToGrid w:val="0"/>
              <w:spacing w:before="20" w:after="20"/>
              <w:jc w:val="center"/>
              <w:rPr>
                <w:rFonts w:cs="Arial"/>
                <w:sz w:val="20"/>
                <w:lang w:val="en-GB"/>
              </w:rPr>
            </w:pPr>
          </w:p>
        </w:tc>
      </w:tr>
      <w:tr w:rsidR="002C3CD3" w:rsidRPr="00D4590B" w14:paraId="0024F300" w14:textId="77777777" w:rsidTr="05FC6599">
        <w:tc>
          <w:tcPr>
            <w:tcW w:w="1529" w:type="dxa"/>
            <w:vMerge/>
          </w:tcPr>
          <w:p w14:paraId="42623BEA" w14:textId="77777777" w:rsidR="002C3CD3" w:rsidRDefault="002C3CD3" w:rsidP="006731D7">
            <w:pPr>
              <w:snapToGrid w:val="0"/>
              <w:spacing w:before="20" w:after="20"/>
              <w:rPr>
                <w:rFonts w:cs="Arial"/>
                <w:b/>
                <w:sz w:val="20"/>
                <w:lang w:val="en-GB"/>
              </w:rPr>
            </w:pPr>
          </w:p>
        </w:tc>
        <w:tc>
          <w:tcPr>
            <w:tcW w:w="5270" w:type="dxa"/>
          </w:tcPr>
          <w:p w14:paraId="4DA15341" w14:textId="73B32CED" w:rsidR="002C3CD3" w:rsidRDefault="002C3CD3" w:rsidP="006731D7">
            <w:pPr>
              <w:snapToGrid w:val="0"/>
              <w:spacing w:before="20" w:after="20"/>
              <w:rPr>
                <w:rFonts w:cs="Arial"/>
                <w:sz w:val="20"/>
                <w:lang w:val="en-GB"/>
              </w:rPr>
            </w:pPr>
            <w:r w:rsidRPr="002C3CD3">
              <w:rPr>
                <w:rFonts w:cs="Arial"/>
                <w:sz w:val="20"/>
                <w:lang w:val="en-GB"/>
              </w:rPr>
              <w:t>Design of a M&amp;E framework for subvention projects</w:t>
            </w:r>
          </w:p>
        </w:tc>
        <w:tc>
          <w:tcPr>
            <w:tcW w:w="993" w:type="dxa"/>
            <w:vAlign w:val="center"/>
          </w:tcPr>
          <w:p w14:paraId="4103B6E3" w14:textId="7CB697B0" w:rsidR="002C3CD3" w:rsidRDefault="002C3CD3" w:rsidP="006731D7">
            <w:pPr>
              <w:snapToGrid w:val="0"/>
              <w:spacing w:before="20" w:after="20"/>
              <w:jc w:val="center"/>
              <w:rPr>
                <w:rFonts w:cs="Arial"/>
                <w:sz w:val="20"/>
                <w:lang w:val="en-GB"/>
              </w:rPr>
            </w:pPr>
            <w:r>
              <w:rPr>
                <w:rFonts w:cs="Arial"/>
                <w:sz w:val="20"/>
                <w:lang w:val="en-GB"/>
              </w:rPr>
              <w:t>5</w:t>
            </w:r>
          </w:p>
        </w:tc>
        <w:tc>
          <w:tcPr>
            <w:tcW w:w="1758" w:type="dxa"/>
            <w:vMerge/>
          </w:tcPr>
          <w:p w14:paraId="468BE6E0" w14:textId="77777777" w:rsidR="002C3CD3" w:rsidRPr="00D4590B" w:rsidRDefault="002C3CD3" w:rsidP="006731D7">
            <w:pPr>
              <w:snapToGrid w:val="0"/>
              <w:spacing w:before="20" w:after="20"/>
              <w:jc w:val="center"/>
              <w:rPr>
                <w:rFonts w:cs="Arial"/>
                <w:sz w:val="20"/>
                <w:lang w:val="en-GB"/>
              </w:rPr>
            </w:pPr>
          </w:p>
        </w:tc>
      </w:tr>
      <w:tr w:rsidR="002C3CD3" w:rsidRPr="00D4590B" w14:paraId="7C25C9F8" w14:textId="77777777" w:rsidTr="05FC6599">
        <w:tc>
          <w:tcPr>
            <w:tcW w:w="1529" w:type="dxa"/>
            <w:vMerge/>
          </w:tcPr>
          <w:p w14:paraId="3CA4D633" w14:textId="77777777" w:rsidR="002C3CD3" w:rsidRDefault="002C3CD3" w:rsidP="006731D7">
            <w:pPr>
              <w:snapToGrid w:val="0"/>
              <w:spacing w:before="20" w:after="20"/>
              <w:rPr>
                <w:rFonts w:cs="Arial"/>
                <w:b/>
                <w:sz w:val="20"/>
                <w:lang w:val="en-GB"/>
              </w:rPr>
            </w:pPr>
          </w:p>
        </w:tc>
        <w:tc>
          <w:tcPr>
            <w:tcW w:w="5270" w:type="dxa"/>
          </w:tcPr>
          <w:p w14:paraId="1ABA24EB" w14:textId="4D737749" w:rsidR="002C3CD3" w:rsidRDefault="002C3CD3" w:rsidP="006731D7">
            <w:pPr>
              <w:snapToGrid w:val="0"/>
              <w:spacing w:before="20" w:after="20"/>
              <w:rPr>
                <w:rFonts w:cs="Arial"/>
                <w:sz w:val="20"/>
                <w:lang w:val="en-GB"/>
              </w:rPr>
            </w:pPr>
            <w:r w:rsidRPr="002C3CD3">
              <w:rPr>
                <w:rFonts w:cs="Arial"/>
                <w:sz w:val="20"/>
                <w:lang w:val="en-GB"/>
              </w:rPr>
              <w:t>Presentation of the recommendations to the MTAI partners</w:t>
            </w:r>
          </w:p>
        </w:tc>
        <w:tc>
          <w:tcPr>
            <w:tcW w:w="993" w:type="dxa"/>
            <w:vAlign w:val="center"/>
          </w:tcPr>
          <w:p w14:paraId="7226FC4C" w14:textId="11502EFF" w:rsidR="002C3CD3" w:rsidRDefault="0046087D" w:rsidP="006731D7">
            <w:pPr>
              <w:snapToGrid w:val="0"/>
              <w:spacing w:before="20" w:after="20"/>
              <w:jc w:val="center"/>
              <w:rPr>
                <w:rFonts w:cs="Arial"/>
                <w:sz w:val="20"/>
                <w:lang w:val="en-GB"/>
              </w:rPr>
            </w:pPr>
            <w:r>
              <w:rPr>
                <w:rFonts w:cs="Arial"/>
                <w:sz w:val="20"/>
                <w:lang w:val="en-GB"/>
              </w:rPr>
              <w:t>1</w:t>
            </w:r>
          </w:p>
        </w:tc>
        <w:tc>
          <w:tcPr>
            <w:tcW w:w="1758" w:type="dxa"/>
            <w:vMerge/>
          </w:tcPr>
          <w:p w14:paraId="5CA9E0E6" w14:textId="77777777" w:rsidR="002C3CD3" w:rsidRPr="00D4590B" w:rsidRDefault="002C3CD3" w:rsidP="006731D7">
            <w:pPr>
              <w:snapToGrid w:val="0"/>
              <w:spacing w:before="20" w:after="20"/>
              <w:jc w:val="center"/>
              <w:rPr>
                <w:rFonts w:cs="Arial"/>
                <w:sz w:val="20"/>
                <w:lang w:val="en-GB"/>
              </w:rPr>
            </w:pPr>
          </w:p>
        </w:tc>
      </w:tr>
      <w:tr w:rsidR="002C3CD3" w:rsidRPr="00D4590B" w14:paraId="05A9C4BF" w14:textId="77777777" w:rsidTr="05FC6599">
        <w:tc>
          <w:tcPr>
            <w:tcW w:w="1529" w:type="dxa"/>
          </w:tcPr>
          <w:p w14:paraId="00B445D5" w14:textId="714A9F4D" w:rsidR="002C3CD3" w:rsidRDefault="002C3CD3" w:rsidP="006731D7">
            <w:pPr>
              <w:snapToGrid w:val="0"/>
              <w:spacing w:before="20" w:after="20"/>
              <w:rPr>
                <w:rFonts w:cs="Arial"/>
                <w:b/>
                <w:sz w:val="20"/>
                <w:lang w:val="en-GB"/>
              </w:rPr>
            </w:pPr>
            <w:r>
              <w:rPr>
                <w:rFonts w:cs="Arial"/>
                <w:b/>
                <w:sz w:val="20"/>
                <w:lang w:val="en-GB"/>
              </w:rPr>
              <w:t>Sub-total</w:t>
            </w:r>
          </w:p>
        </w:tc>
        <w:tc>
          <w:tcPr>
            <w:tcW w:w="5270" w:type="dxa"/>
          </w:tcPr>
          <w:p w14:paraId="1EE7B1F4" w14:textId="77777777" w:rsidR="002C3CD3" w:rsidRPr="002C3CD3" w:rsidRDefault="002C3CD3" w:rsidP="006731D7">
            <w:pPr>
              <w:snapToGrid w:val="0"/>
              <w:spacing w:before="20" w:after="20"/>
              <w:rPr>
                <w:rFonts w:cs="Arial"/>
                <w:sz w:val="20"/>
                <w:lang w:val="en-GB"/>
              </w:rPr>
            </w:pPr>
          </w:p>
        </w:tc>
        <w:tc>
          <w:tcPr>
            <w:tcW w:w="993" w:type="dxa"/>
            <w:vAlign w:val="center"/>
          </w:tcPr>
          <w:p w14:paraId="39A2B29C" w14:textId="7CF29403" w:rsidR="002C3CD3" w:rsidRPr="002C3CD3" w:rsidRDefault="002C3CD3" w:rsidP="006731D7">
            <w:pPr>
              <w:snapToGrid w:val="0"/>
              <w:spacing w:before="20" w:after="20"/>
              <w:jc w:val="center"/>
              <w:rPr>
                <w:rFonts w:cs="Arial"/>
                <w:b/>
                <w:bCs/>
                <w:sz w:val="20"/>
                <w:lang w:val="en-GB"/>
              </w:rPr>
            </w:pPr>
            <w:r w:rsidRPr="002C3CD3">
              <w:rPr>
                <w:rFonts w:cs="Arial"/>
                <w:b/>
                <w:bCs/>
                <w:sz w:val="20"/>
                <w:lang w:val="en-GB"/>
              </w:rPr>
              <w:t>3</w:t>
            </w:r>
            <w:r w:rsidR="00BA109E">
              <w:rPr>
                <w:rFonts w:cs="Arial"/>
                <w:b/>
                <w:bCs/>
                <w:sz w:val="20"/>
                <w:lang w:val="en-GB"/>
              </w:rPr>
              <w:t>2</w:t>
            </w:r>
          </w:p>
        </w:tc>
        <w:tc>
          <w:tcPr>
            <w:tcW w:w="1758" w:type="dxa"/>
          </w:tcPr>
          <w:p w14:paraId="31AAEF44" w14:textId="77777777" w:rsidR="002C3CD3" w:rsidRPr="00D4590B" w:rsidRDefault="002C3CD3" w:rsidP="006731D7">
            <w:pPr>
              <w:snapToGrid w:val="0"/>
              <w:spacing w:before="20" w:after="20"/>
              <w:jc w:val="center"/>
              <w:rPr>
                <w:rFonts w:cs="Arial"/>
                <w:sz w:val="20"/>
                <w:lang w:val="en-GB"/>
              </w:rPr>
            </w:pPr>
          </w:p>
        </w:tc>
      </w:tr>
      <w:tr w:rsidR="002C3CD3" w:rsidRPr="00D4590B" w14:paraId="51931C62" w14:textId="77777777" w:rsidTr="05FC6599">
        <w:tc>
          <w:tcPr>
            <w:tcW w:w="1529" w:type="dxa"/>
            <w:vMerge w:val="restart"/>
            <w:vAlign w:val="center"/>
          </w:tcPr>
          <w:p w14:paraId="06CDBD36" w14:textId="47E04653" w:rsidR="002C3CD3" w:rsidRDefault="002C3CD3" w:rsidP="006731D7">
            <w:pPr>
              <w:snapToGrid w:val="0"/>
              <w:spacing w:before="20" w:after="20"/>
              <w:rPr>
                <w:rFonts w:cs="Arial"/>
                <w:b/>
                <w:sz w:val="20"/>
                <w:lang w:val="en-GB"/>
              </w:rPr>
            </w:pPr>
            <w:r w:rsidRPr="002C3CD3">
              <w:rPr>
                <w:rFonts w:cs="Arial"/>
                <w:b/>
                <w:sz w:val="20"/>
                <w:lang w:val="en-GB"/>
              </w:rPr>
              <w:t>Concluding phase</w:t>
            </w:r>
          </w:p>
        </w:tc>
        <w:tc>
          <w:tcPr>
            <w:tcW w:w="5270" w:type="dxa"/>
          </w:tcPr>
          <w:p w14:paraId="1DE066E8" w14:textId="3AD7DD02" w:rsidR="002C3CD3" w:rsidRPr="002C3CD3" w:rsidRDefault="002C3CD3" w:rsidP="006731D7">
            <w:pPr>
              <w:snapToGrid w:val="0"/>
              <w:spacing w:before="20" w:after="20"/>
              <w:rPr>
                <w:rFonts w:cs="Arial"/>
                <w:sz w:val="20"/>
                <w:lang w:val="en-GB"/>
              </w:rPr>
            </w:pPr>
            <w:r w:rsidRPr="002C3CD3">
              <w:rPr>
                <w:rFonts w:cs="Arial"/>
                <w:sz w:val="20"/>
                <w:lang w:val="en-GB"/>
              </w:rPr>
              <w:t>Concluding Workshop attended by MTAI, GGLD and other interested representatives</w:t>
            </w:r>
          </w:p>
        </w:tc>
        <w:tc>
          <w:tcPr>
            <w:tcW w:w="993" w:type="dxa"/>
            <w:vAlign w:val="center"/>
          </w:tcPr>
          <w:p w14:paraId="44D8A527" w14:textId="1385CD50" w:rsidR="002C3CD3" w:rsidRPr="002C3CD3" w:rsidRDefault="0046087D" w:rsidP="006731D7">
            <w:pPr>
              <w:snapToGrid w:val="0"/>
              <w:spacing w:before="20" w:after="20"/>
              <w:jc w:val="center"/>
              <w:rPr>
                <w:rFonts w:cs="Arial"/>
                <w:sz w:val="20"/>
                <w:lang w:val="en-GB"/>
              </w:rPr>
            </w:pPr>
            <w:r>
              <w:rPr>
                <w:rFonts w:cs="Arial"/>
                <w:sz w:val="20"/>
                <w:lang w:val="en-GB"/>
              </w:rPr>
              <w:t>1</w:t>
            </w:r>
          </w:p>
        </w:tc>
        <w:tc>
          <w:tcPr>
            <w:tcW w:w="1758" w:type="dxa"/>
            <w:vAlign w:val="center"/>
          </w:tcPr>
          <w:p w14:paraId="46449EF6" w14:textId="62EF93FF" w:rsidR="002C3CD3" w:rsidRPr="00D4590B" w:rsidRDefault="002C3CD3" w:rsidP="006731D7">
            <w:pPr>
              <w:snapToGrid w:val="0"/>
              <w:spacing w:before="20" w:after="20"/>
              <w:jc w:val="center"/>
              <w:rPr>
                <w:rFonts w:cs="Arial"/>
                <w:sz w:val="20"/>
                <w:lang w:val="en-GB"/>
              </w:rPr>
            </w:pPr>
            <w:r w:rsidRPr="00485454">
              <w:rPr>
                <w:rFonts w:eastAsia="Calibri" w:cs="Arial"/>
                <w:sz w:val="20"/>
                <w:lang w:val="en-GB" w:eastAsia="en-US"/>
              </w:rPr>
              <w:t>December 2022</w:t>
            </w:r>
          </w:p>
        </w:tc>
      </w:tr>
      <w:tr w:rsidR="002C3CD3" w:rsidRPr="00D4590B" w14:paraId="2CAFF739" w14:textId="77777777" w:rsidTr="05FC6599">
        <w:tc>
          <w:tcPr>
            <w:tcW w:w="1529" w:type="dxa"/>
            <w:vMerge/>
          </w:tcPr>
          <w:p w14:paraId="5C536E63" w14:textId="77777777" w:rsidR="002C3CD3" w:rsidRPr="002C3CD3" w:rsidRDefault="002C3CD3" w:rsidP="006731D7">
            <w:pPr>
              <w:snapToGrid w:val="0"/>
              <w:spacing w:before="20" w:after="20"/>
              <w:rPr>
                <w:rFonts w:cs="Arial"/>
                <w:b/>
                <w:sz w:val="20"/>
                <w:lang w:val="en-GB"/>
              </w:rPr>
            </w:pPr>
          </w:p>
        </w:tc>
        <w:tc>
          <w:tcPr>
            <w:tcW w:w="5270" w:type="dxa"/>
          </w:tcPr>
          <w:p w14:paraId="07BEAB34" w14:textId="493A8D82" w:rsidR="002C3CD3" w:rsidRPr="002C3CD3" w:rsidRDefault="002C3CD3" w:rsidP="006731D7">
            <w:pPr>
              <w:snapToGrid w:val="0"/>
              <w:spacing w:before="20" w:after="20"/>
              <w:rPr>
                <w:rFonts w:cs="Arial"/>
                <w:sz w:val="20"/>
                <w:lang w:val="en-GB"/>
              </w:rPr>
            </w:pPr>
            <w:r w:rsidRPr="002C3CD3">
              <w:rPr>
                <w:rFonts w:cs="Arial"/>
                <w:sz w:val="20"/>
                <w:lang w:val="en-GB"/>
              </w:rPr>
              <w:t>Final assignment report, including recommendations on next steps</w:t>
            </w:r>
          </w:p>
        </w:tc>
        <w:tc>
          <w:tcPr>
            <w:tcW w:w="993" w:type="dxa"/>
            <w:vAlign w:val="center"/>
          </w:tcPr>
          <w:p w14:paraId="38BA9832" w14:textId="01A2593A" w:rsidR="002C3CD3" w:rsidRPr="002C3CD3" w:rsidRDefault="00A771AF" w:rsidP="006731D7">
            <w:pPr>
              <w:snapToGrid w:val="0"/>
              <w:spacing w:before="20" w:after="20"/>
              <w:jc w:val="center"/>
              <w:rPr>
                <w:rFonts w:cs="Arial"/>
                <w:sz w:val="20"/>
                <w:lang w:val="en-GB"/>
              </w:rPr>
            </w:pPr>
            <w:r>
              <w:rPr>
                <w:rFonts w:cs="Arial"/>
                <w:sz w:val="20"/>
                <w:lang w:val="en-GB"/>
              </w:rPr>
              <w:t>4</w:t>
            </w:r>
          </w:p>
        </w:tc>
        <w:tc>
          <w:tcPr>
            <w:tcW w:w="1758" w:type="dxa"/>
            <w:vAlign w:val="center"/>
          </w:tcPr>
          <w:p w14:paraId="696D99BE" w14:textId="5447E1AD" w:rsidR="002C3CD3" w:rsidRPr="00D4590B" w:rsidRDefault="002C3CD3" w:rsidP="006731D7">
            <w:pPr>
              <w:snapToGrid w:val="0"/>
              <w:spacing w:before="20" w:after="20"/>
              <w:jc w:val="center"/>
              <w:rPr>
                <w:rFonts w:cs="Arial"/>
                <w:sz w:val="20"/>
                <w:lang w:val="en-GB"/>
              </w:rPr>
            </w:pPr>
            <w:r>
              <w:rPr>
                <w:rFonts w:cs="Arial"/>
                <w:sz w:val="20"/>
                <w:lang w:val="en-GB"/>
              </w:rPr>
              <w:t>January 2023</w:t>
            </w:r>
          </w:p>
        </w:tc>
      </w:tr>
      <w:tr w:rsidR="002C3CD3" w:rsidRPr="00D4590B" w14:paraId="13BBD04B" w14:textId="77777777" w:rsidTr="05FC6599">
        <w:tc>
          <w:tcPr>
            <w:tcW w:w="6799" w:type="dxa"/>
            <w:gridSpan w:val="2"/>
          </w:tcPr>
          <w:p w14:paraId="1EDEDE30" w14:textId="27F895C1" w:rsidR="002C3CD3" w:rsidRPr="002C3CD3" w:rsidRDefault="002C3CD3" w:rsidP="006731D7">
            <w:pPr>
              <w:snapToGrid w:val="0"/>
              <w:spacing w:before="20" w:after="20"/>
              <w:rPr>
                <w:rFonts w:cs="Arial"/>
                <w:sz w:val="20"/>
                <w:lang w:val="en-GB"/>
              </w:rPr>
            </w:pPr>
            <w:r>
              <w:rPr>
                <w:rFonts w:cs="Arial"/>
                <w:b/>
                <w:sz w:val="20"/>
                <w:lang w:val="en-GB"/>
              </w:rPr>
              <w:t>Sub-total</w:t>
            </w:r>
          </w:p>
        </w:tc>
        <w:tc>
          <w:tcPr>
            <w:tcW w:w="993" w:type="dxa"/>
            <w:vAlign w:val="center"/>
          </w:tcPr>
          <w:p w14:paraId="66FE909B" w14:textId="2C05895A" w:rsidR="002C3CD3" w:rsidRPr="002C3CD3" w:rsidRDefault="00A771AF" w:rsidP="006731D7">
            <w:pPr>
              <w:snapToGrid w:val="0"/>
              <w:spacing w:before="20" w:after="20"/>
              <w:jc w:val="center"/>
              <w:rPr>
                <w:rFonts w:cs="Arial"/>
                <w:b/>
                <w:bCs/>
                <w:sz w:val="20"/>
                <w:lang w:val="en-GB"/>
              </w:rPr>
            </w:pPr>
            <w:r>
              <w:rPr>
                <w:rFonts w:cs="Arial"/>
                <w:b/>
                <w:bCs/>
                <w:sz w:val="20"/>
                <w:lang w:val="en-GB"/>
              </w:rPr>
              <w:t>5</w:t>
            </w:r>
          </w:p>
        </w:tc>
        <w:tc>
          <w:tcPr>
            <w:tcW w:w="1758" w:type="dxa"/>
            <w:vAlign w:val="center"/>
          </w:tcPr>
          <w:p w14:paraId="4EFE7ADA" w14:textId="77777777" w:rsidR="002C3CD3" w:rsidRDefault="002C3CD3" w:rsidP="006731D7">
            <w:pPr>
              <w:snapToGrid w:val="0"/>
              <w:spacing w:before="20" w:after="20"/>
              <w:jc w:val="center"/>
              <w:rPr>
                <w:rFonts w:cs="Arial"/>
                <w:sz w:val="20"/>
                <w:lang w:val="en-GB"/>
              </w:rPr>
            </w:pPr>
          </w:p>
        </w:tc>
      </w:tr>
      <w:tr w:rsidR="002C3CD3" w:rsidRPr="00D4590B" w14:paraId="717E2347" w14:textId="77777777" w:rsidTr="05FC6599">
        <w:tc>
          <w:tcPr>
            <w:tcW w:w="6799" w:type="dxa"/>
            <w:gridSpan w:val="2"/>
            <w:shd w:val="clear" w:color="auto" w:fill="D9D9D9" w:themeFill="background1" w:themeFillShade="D9"/>
          </w:tcPr>
          <w:p w14:paraId="4F888F4D" w14:textId="522EE705" w:rsidR="002C3CD3" w:rsidRPr="002C3CD3" w:rsidRDefault="002C3CD3" w:rsidP="006731D7">
            <w:pPr>
              <w:snapToGrid w:val="0"/>
              <w:spacing w:before="20" w:after="20"/>
              <w:rPr>
                <w:rFonts w:cs="Arial"/>
                <w:sz w:val="20"/>
                <w:lang w:val="en-GB"/>
              </w:rPr>
            </w:pPr>
            <w:r>
              <w:rPr>
                <w:rFonts w:cs="Arial"/>
                <w:b/>
                <w:sz w:val="20"/>
                <w:lang w:val="en-GB"/>
              </w:rPr>
              <w:t>Gross total</w:t>
            </w:r>
          </w:p>
        </w:tc>
        <w:tc>
          <w:tcPr>
            <w:tcW w:w="993" w:type="dxa"/>
            <w:shd w:val="clear" w:color="auto" w:fill="D9D9D9" w:themeFill="background1" w:themeFillShade="D9"/>
            <w:vAlign w:val="center"/>
          </w:tcPr>
          <w:p w14:paraId="44EE5610" w14:textId="27EFFCFF" w:rsidR="002C3CD3" w:rsidRPr="002C3CD3" w:rsidRDefault="6D5FD1B4" w:rsidP="006731D7">
            <w:pPr>
              <w:spacing w:before="20" w:after="20"/>
              <w:jc w:val="center"/>
              <w:rPr>
                <w:szCs w:val="22"/>
                <w:lang w:val="en-GB"/>
              </w:rPr>
            </w:pPr>
            <w:r w:rsidRPr="05FC6599">
              <w:rPr>
                <w:rFonts w:cs="Arial"/>
                <w:b/>
                <w:bCs/>
                <w:sz w:val="20"/>
                <w:lang w:val="en-GB"/>
              </w:rPr>
              <w:t>3</w:t>
            </w:r>
            <w:r w:rsidR="002071BE">
              <w:rPr>
                <w:rFonts w:cs="Arial"/>
                <w:b/>
                <w:bCs/>
                <w:sz w:val="20"/>
                <w:lang w:val="en-GB"/>
              </w:rPr>
              <w:t>40</w:t>
            </w:r>
          </w:p>
        </w:tc>
        <w:tc>
          <w:tcPr>
            <w:tcW w:w="1758" w:type="dxa"/>
            <w:shd w:val="clear" w:color="auto" w:fill="D9D9D9" w:themeFill="background1" w:themeFillShade="D9"/>
            <w:vAlign w:val="center"/>
          </w:tcPr>
          <w:p w14:paraId="06687C88" w14:textId="77777777" w:rsidR="002C3CD3" w:rsidRDefault="002C3CD3" w:rsidP="006731D7">
            <w:pPr>
              <w:snapToGrid w:val="0"/>
              <w:spacing w:before="20" w:after="20"/>
              <w:jc w:val="center"/>
              <w:rPr>
                <w:rFonts w:cs="Arial"/>
                <w:sz w:val="20"/>
                <w:lang w:val="en-GB"/>
              </w:rPr>
            </w:pPr>
          </w:p>
        </w:tc>
      </w:tr>
    </w:tbl>
    <w:p w14:paraId="74A132B2" w14:textId="040B5983" w:rsidR="00EB63C0" w:rsidRPr="00485454" w:rsidRDefault="4359212E" w:rsidP="19DDD957">
      <w:pPr>
        <w:pStyle w:val="Listenabsatz"/>
        <w:numPr>
          <w:ilvl w:val="0"/>
          <w:numId w:val="25"/>
        </w:numPr>
        <w:spacing w:before="240" w:after="120"/>
        <w:ind w:left="714" w:hanging="357"/>
        <w:contextualSpacing w:val="0"/>
        <w:jc w:val="both"/>
        <w:rPr>
          <w:rFonts w:ascii="Arial" w:hAnsi="Arial" w:cs="Arial"/>
          <w:b/>
          <w:bCs/>
          <w:lang w:val="en-GB"/>
        </w:rPr>
      </w:pPr>
      <w:r w:rsidRPr="05FC6599">
        <w:rPr>
          <w:rFonts w:ascii="Arial" w:hAnsi="Arial" w:cs="Arial"/>
          <w:b/>
          <w:bCs/>
          <w:lang w:val="en-GB"/>
        </w:rPr>
        <w:t>C</w:t>
      </w:r>
      <w:r w:rsidR="000C05D9" w:rsidRPr="05FC6599">
        <w:rPr>
          <w:rFonts w:ascii="Arial" w:hAnsi="Arial" w:cs="Arial"/>
          <w:b/>
          <w:bCs/>
          <w:lang w:val="en-GB"/>
        </w:rPr>
        <w:t xml:space="preserve">ompany </w:t>
      </w:r>
      <w:r w:rsidR="04552B89" w:rsidRPr="05FC6599">
        <w:rPr>
          <w:rFonts w:ascii="Arial" w:hAnsi="Arial" w:cs="Arial"/>
          <w:b/>
          <w:bCs/>
          <w:lang w:val="en-GB"/>
        </w:rPr>
        <w:t xml:space="preserve">and expert </w:t>
      </w:r>
      <w:r w:rsidR="000C05D9" w:rsidRPr="05FC6599">
        <w:rPr>
          <w:rFonts w:ascii="Arial" w:hAnsi="Arial" w:cs="Arial"/>
          <w:b/>
          <w:bCs/>
          <w:lang w:val="en-GB"/>
        </w:rPr>
        <w:t>profile</w:t>
      </w:r>
    </w:p>
    <w:p w14:paraId="5264576A" w14:textId="629227D6" w:rsidR="00F30CA2" w:rsidRPr="00485454" w:rsidRDefault="00D84AAA" w:rsidP="00BF6AFA">
      <w:pPr>
        <w:spacing w:after="120"/>
        <w:jc w:val="both"/>
        <w:rPr>
          <w:rFonts w:cs="Arial"/>
          <w:lang w:val="en-GB"/>
        </w:rPr>
      </w:pPr>
      <w:r w:rsidRPr="00485454">
        <w:rPr>
          <w:rFonts w:cs="Arial"/>
          <w:lang w:val="en-GB"/>
        </w:rPr>
        <w:t xml:space="preserve">The </w:t>
      </w:r>
      <w:r w:rsidR="003A03C6" w:rsidRPr="00485454">
        <w:rPr>
          <w:rFonts w:cs="Arial"/>
          <w:b/>
          <w:bCs/>
          <w:lang w:val="en-GB"/>
        </w:rPr>
        <w:t>Company</w:t>
      </w:r>
      <w:r w:rsidR="003A03C6" w:rsidRPr="00485454">
        <w:rPr>
          <w:rFonts w:cs="Arial"/>
          <w:lang w:val="en-GB"/>
        </w:rPr>
        <w:t xml:space="preserve"> </w:t>
      </w:r>
      <w:r w:rsidRPr="00485454">
        <w:rPr>
          <w:rFonts w:cs="Arial"/>
          <w:lang w:val="en-GB"/>
        </w:rPr>
        <w:t>shall meet the following criteria:</w:t>
      </w:r>
    </w:p>
    <w:p w14:paraId="5192EC98" w14:textId="2525F675" w:rsidR="00D84AAA" w:rsidRPr="00485454" w:rsidRDefault="2993D952" w:rsidP="00D84AAA">
      <w:pPr>
        <w:pStyle w:val="Listenabsatz"/>
        <w:numPr>
          <w:ilvl w:val="0"/>
          <w:numId w:val="33"/>
        </w:numPr>
        <w:jc w:val="both"/>
        <w:rPr>
          <w:rFonts w:ascii="Arial" w:hAnsi="Arial" w:cs="Arial"/>
          <w:lang w:val="en-GB"/>
        </w:rPr>
      </w:pPr>
      <w:r w:rsidRPr="00485454">
        <w:rPr>
          <w:rFonts w:ascii="Arial" w:hAnsi="Arial" w:cs="Arial"/>
          <w:lang w:val="en-GB"/>
        </w:rPr>
        <w:t xml:space="preserve">At least five years of </w:t>
      </w:r>
      <w:r w:rsidR="1A9BD96D" w:rsidRPr="00485454">
        <w:rPr>
          <w:rFonts w:ascii="Arial" w:hAnsi="Arial" w:cs="Arial"/>
          <w:lang w:val="en-GB"/>
        </w:rPr>
        <w:t xml:space="preserve">demonstrated </w:t>
      </w:r>
      <w:r w:rsidRPr="00485454">
        <w:rPr>
          <w:rFonts w:ascii="Arial" w:hAnsi="Arial" w:cs="Arial"/>
          <w:lang w:val="en-GB"/>
        </w:rPr>
        <w:t xml:space="preserve">experience in </w:t>
      </w:r>
      <w:r w:rsidR="7F5AB73F" w:rsidRPr="00485454">
        <w:rPr>
          <w:rFonts w:ascii="Arial" w:hAnsi="Arial" w:cs="Arial"/>
          <w:lang w:val="en-GB"/>
        </w:rPr>
        <w:t>LED in Armenia and other countries</w:t>
      </w:r>
      <w:r w:rsidR="003045D8">
        <w:rPr>
          <w:rFonts w:ascii="Arial" w:hAnsi="Arial" w:cs="Arial"/>
          <w:lang w:val="en-GB"/>
        </w:rPr>
        <w:t>;</w:t>
      </w:r>
    </w:p>
    <w:p w14:paraId="675D4271" w14:textId="3C6CA824" w:rsidR="00D84AAA" w:rsidRPr="00485454" w:rsidRDefault="00D84AAA" w:rsidP="19DDD957">
      <w:pPr>
        <w:pStyle w:val="Listenabsatz"/>
        <w:numPr>
          <w:ilvl w:val="0"/>
          <w:numId w:val="33"/>
        </w:numPr>
        <w:jc w:val="both"/>
        <w:rPr>
          <w:lang w:val="en-GB"/>
        </w:rPr>
      </w:pPr>
      <w:r w:rsidRPr="00485454">
        <w:rPr>
          <w:rFonts w:ascii="Arial" w:hAnsi="Arial" w:cs="Arial"/>
          <w:lang w:val="en-GB"/>
        </w:rPr>
        <w:t>Demonstrated successful experience in development of LED plans at local level</w:t>
      </w:r>
      <w:r w:rsidR="00186623" w:rsidRPr="00485454">
        <w:rPr>
          <w:rFonts w:ascii="Arial" w:hAnsi="Arial" w:cs="Arial"/>
          <w:lang w:val="en-GB"/>
        </w:rPr>
        <w:t xml:space="preserve">, or of projects of </w:t>
      </w:r>
      <w:r w:rsidR="009E0775" w:rsidRPr="00485454">
        <w:rPr>
          <w:rFonts w:ascii="Arial" w:hAnsi="Arial" w:cs="Arial"/>
          <w:lang w:val="en-GB"/>
        </w:rPr>
        <w:t>similar nature</w:t>
      </w:r>
      <w:r w:rsidR="10931B5C" w:rsidRPr="00485454">
        <w:rPr>
          <w:rFonts w:ascii="Arial" w:hAnsi="Arial" w:cs="Arial"/>
          <w:lang w:val="en-GB"/>
        </w:rPr>
        <w:t xml:space="preserve"> in Armenia</w:t>
      </w:r>
      <w:r w:rsidR="20E5D5FB" w:rsidRPr="00485454">
        <w:rPr>
          <w:rFonts w:ascii="Arial" w:hAnsi="Arial" w:cs="Arial"/>
          <w:lang w:val="en-GB"/>
        </w:rPr>
        <w:t>, including their integration in legally required socio-economic planning frameworks</w:t>
      </w:r>
      <w:r w:rsidR="003045D8">
        <w:rPr>
          <w:rFonts w:ascii="Arial" w:hAnsi="Arial" w:cs="Arial"/>
          <w:lang w:val="en-GB"/>
        </w:rPr>
        <w:t>;</w:t>
      </w:r>
    </w:p>
    <w:p w14:paraId="72DB60D5" w14:textId="2808EF49" w:rsidR="00D84AAA" w:rsidRPr="00485454" w:rsidRDefault="00D84AAA" w:rsidP="00D84AAA">
      <w:pPr>
        <w:pStyle w:val="Listenabsatz"/>
        <w:numPr>
          <w:ilvl w:val="0"/>
          <w:numId w:val="33"/>
        </w:numPr>
        <w:jc w:val="both"/>
        <w:rPr>
          <w:rFonts w:ascii="Arial" w:hAnsi="Arial" w:cs="Arial"/>
          <w:lang w:val="en-GB"/>
        </w:rPr>
      </w:pPr>
      <w:r w:rsidRPr="00485454">
        <w:rPr>
          <w:rFonts w:ascii="Arial" w:hAnsi="Arial" w:cs="Arial"/>
          <w:lang w:val="en-GB"/>
        </w:rPr>
        <w:t xml:space="preserve">Demonstrated experience in </w:t>
      </w:r>
      <w:r w:rsidR="009E0775" w:rsidRPr="00485454">
        <w:rPr>
          <w:rFonts w:ascii="Arial" w:hAnsi="Arial" w:cs="Arial"/>
          <w:lang w:val="en-GB"/>
        </w:rPr>
        <w:t xml:space="preserve">the </w:t>
      </w:r>
      <w:r w:rsidRPr="00485454">
        <w:rPr>
          <w:rFonts w:ascii="Arial" w:hAnsi="Arial" w:cs="Arial"/>
          <w:lang w:val="en-GB"/>
        </w:rPr>
        <w:t>LED sector</w:t>
      </w:r>
      <w:r w:rsidR="346CD768" w:rsidRPr="00485454">
        <w:rPr>
          <w:rFonts w:ascii="Arial" w:hAnsi="Arial" w:cs="Arial"/>
          <w:lang w:val="en-GB"/>
        </w:rPr>
        <w:t xml:space="preserve"> (number </w:t>
      </w:r>
      <w:r w:rsidR="56E7ACC0" w:rsidRPr="00485454">
        <w:rPr>
          <w:rFonts w:ascii="Arial" w:hAnsi="Arial" w:cs="Arial"/>
          <w:lang w:val="en-GB"/>
        </w:rPr>
        <w:t xml:space="preserve">and types </w:t>
      </w:r>
      <w:r w:rsidR="346CD768" w:rsidRPr="00485454">
        <w:rPr>
          <w:rFonts w:ascii="Arial" w:hAnsi="Arial" w:cs="Arial"/>
          <w:lang w:val="en-GB"/>
        </w:rPr>
        <w:t xml:space="preserve">of </w:t>
      </w:r>
      <w:r w:rsidR="37D29BF4" w:rsidRPr="00485454">
        <w:rPr>
          <w:rFonts w:ascii="Arial" w:hAnsi="Arial" w:cs="Arial"/>
          <w:lang w:val="en-GB"/>
        </w:rPr>
        <w:t xml:space="preserve">LED </w:t>
      </w:r>
      <w:r w:rsidR="346CD768" w:rsidRPr="00485454">
        <w:rPr>
          <w:rFonts w:ascii="Arial" w:hAnsi="Arial" w:cs="Arial"/>
          <w:lang w:val="en-GB"/>
        </w:rPr>
        <w:t>projects, etc.)</w:t>
      </w:r>
      <w:r w:rsidR="003045D8">
        <w:rPr>
          <w:rFonts w:ascii="Arial" w:hAnsi="Arial" w:cs="Arial"/>
          <w:lang w:val="en-GB"/>
        </w:rPr>
        <w:t>;</w:t>
      </w:r>
    </w:p>
    <w:p w14:paraId="1B310FF0" w14:textId="2F7B4B6A" w:rsidR="346CD768" w:rsidRPr="00485454" w:rsidRDefault="346CD768" w:rsidP="19DDD957">
      <w:pPr>
        <w:pStyle w:val="Listenabsatz"/>
        <w:numPr>
          <w:ilvl w:val="0"/>
          <w:numId w:val="33"/>
        </w:numPr>
        <w:jc w:val="both"/>
        <w:rPr>
          <w:lang w:val="en-GB"/>
        </w:rPr>
      </w:pPr>
      <w:r w:rsidRPr="00485454">
        <w:rPr>
          <w:rFonts w:ascii="Arial" w:hAnsi="Arial" w:cs="Arial"/>
          <w:lang w:val="en-GB"/>
        </w:rPr>
        <w:t>Demonstrated record of LED associated fields (business, support, consultancy, advisory extension services, etc.)</w:t>
      </w:r>
      <w:r w:rsidR="003045D8">
        <w:rPr>
          <w:rFonts w:ascii="Arial" w:hAnsi="Arial" w:cs="Arial"/>
          <w:lang w:val="en-GB"/>
        </w:rPr>
        <w:t>;</w:t>
      </w:r>
    </w:p>
    <w:p w14:paraId="7D6CBACD" w14:textId="79D08BD2" w:rsidR="00D84AAA" w:rsidRPr="00485454" w:rsidRDefault="00D84AAA" w:rsidP="00D84AAA">
      <w:pPr>
        <w:pStyle w:val="Listenabsatz"/>
        <w:numPr>
          <w:ilvl w:val="0"/>
          <w:numId w:val="33"/>
        </w:numPr>
        <w:jc w:val="both"/>
        <w:rPr>
          <w:rFonts w:ascii="Arial" w:hAnsi="Arial" w:cs="Arial"/>
          <w:lang w:val="en-GB"/>
        </w:rPr>
      </w:pPr>
      <w:r w:rsidRPr="00485454">
        <w:rPr>
          <w:rFonts w:ascii="Arial" w:hAnsi="Arial" w:cs="Arial"/>
          <w:lang w:val="en-GB"/>
        </w:rPr>
        <w:t xml:space="preserve">Demonstrated experience in </w:t>
      </w:r>
      <w:r w:rsidR="0B26B022" w:rsidRPr="00485454">
        <w:rPr>
          <w:rFonts w:ascii="Arial" w:hAnsi="Arial" w:cs="Arial"/>
          <w:lang w:val="en-GB"/>
        </w:rPr>
        <w:t xml:space="preserve">design and delivery of capacity building to </w:t>
      </w:r>
      <w:r w:rsidRPr="00485454">
        <w:rPr>
          <w:rFonts w:ascii="Arial" w:hAnsi="Arial" w:cs="Arial"/>
          <w:lang w:val="en-GB"/>
        </w:rPr>
        <w:t>partner institutions</w:t>
      </w:r>
      <w:r w:rsidR="1E40FD36" w:rsidRPr="00485454">
        <w:rPr>
          <w:rFonts w:ascii="Arial" w:hAnsi="Arial" w:cs="Arial"/>
          <w:lang w:val="en-GB"/>
        </w:rPr>
        <w:t xml:space="preserve"> in LED</w:t>
      </w:r>
      <w:r w:rsidR="003045D8">
        <w:rPr>
          <w:rFonts w:ascii="Arial" w:hAnsi="Arial" w:cs="Arial"/>
          <w:lang w:val="en-GB"/>
        </w:rPr>
        <w:t>;</w:t>
      </w:r>
    </w:p>
    <w:p w14:paraId="77621AF2" w14:textId="6D6FEE76" w:rsidR="00D84AAA" w:rsidRPr="00485454" w:rsidRDefault="00D84AAA" w:rsidP="00D84AAA">
      <w:pPr>
        <w:pStyle w:val="Listenabsatz"/>
        <w:numPr>
          <w:ilvl w:val="0"/>
          <w:numId w:val="33"/>
        </w:numPr>
        <w:jc w:val="both"/>
        <w:rPr>
          <w:rFonts w:ascii="Arial" w:hAnsi="Arial" w:cs="Arial"/>
          <w:lang w:val="en-GB"/>
        </w:rPr>
      </w:pPr>
      <w:r w:rsidRPr="00485454">
        <w:rPr>
          <w:rFonts w:ascii="Arial" w:hAnsi="Arial" w:cs="Arial"/>
          <w:lang w:val="en-GB"/>
        </w:rPr>
        <w:t>Experience in cooperation with LSGs and national authorities in Armenia in the area of LED</w:t>
      </w:r>
      <w:r w:rsidR="003045D8">
        <w:rPr>
          <w:rFonts w:ascii="Arial" w:hAnsi="Arial" w:cs="Arial"/>
          <w:lang w:val="en-GB"/>
        </w:rPr>
        <w:t>;</w:t>
      </w:r>
    </w:p>
    <w:p w14:paraId="38DFAF0E" w14:textId="20E18217" w:rsidR="00D84AAA" w:rsidRPr="00485454" w:rsidRDefault="00247860" w:rsidP="00D84AAA">
      <w:pPr>
        <w:pStyle w:val="Listenabsatz"/>
        <w:numPr>
          <w:ilvl w:val="0"/>
          <w:numId w:val="33"/>
        </w:numPr>
        <w:jc w:val="both"/>
        <w:rPr>
          <w:rFonts w:ascii="Arial" w:hAnsi="Arial" w:cs="Arial"/>
          <w:lang w:val="en-GB"/>
        </w:rPr>
      </w:pPr>
      <w:r w:rsidRPr="00485454">
        <w:rPr>
          <w:rFonts w:ascii="Arial" w:hAnsi="Arial" w:cs="Arial"/>
          <w:lang w:val="en-GB"/>
        </w:rPr>
        <w:t>Knowledge of t</w:t>
      </w:r>
      <w:r w:rsidR="00D84AAA" w:rsidRPr="00485454">
        <w:rPr>
          <w:rFonts w:ascii="Arial" w:hAnsi="Arial" w:cs="Arial"/>
          <w:lang w:val="en-GB"/>
        </w:rPr>
        <w:t>ools, techniques</w:t>
      </w:r>
      <w:r w:rsidR="006731D7">
        <w:rPr>
          <w:rFonts w:ascii="Arial" w:hAnsi="Arial" w:cs="Arial"/>
          <w:lang w:val="en-GB"/>
        </w:rPr>
        <w:t>,</w:t>
      </w:r>
      <w:r w:rsidR="00D84AAA" w:rsidRPr="00485454">
        <w:rPr>
          <w:rFonts w:ascii="Arial" w:hAnsi="Arial" w:cs="Arial"/>
          <w:lang w:val="en-GB"/>
        </w:rPr>
        <w:t xml:space="preserve"> and methodologies to be applied in implementing the assignment</w:t>
      </w:r>
      <w:r w:rsidR="003045D8">
        <w:rPr>
          <w:rFonts w:ascii="Arial" w:hAnsi="Arial" w:cs="Arial"/>
          <w:lang w:val="en-GB"/>
        </w:rPr>
        <w:t>;</w:t>
      </w:r>
    </w:p>
    <w:p w14:paraId="34696EC7" w14:textId="06486A06" w:rsidR="005F6F6A" w:rsidRPr="00485454" w:rsidRDefault="65A1F04C" w:rsidP="19DDD957">
      <w:pPr>
        <w:pStyle w:val="Listenabsatz"/>
        <w:numPr>
          <w:ilvl w:val="0"/>
          <w:numId w:val="33"/>
        </w:numPr>
        <w:jc w:val="both"/>
        <w:rPr>
          <w:lang w:val="en-GB"/>
        </w:rPr>
      </w:pPr>
      <w:r w:rsidRPr="00485454">
        <w:rPr>
          <w:rFonts w:ascii="Arial" w:hAnsi="Arial" w:cs="Arial"/>
          <w:lang w:val="en-GB"/>
        </w:rPr>
        <w:t>Experience in working with GIZ programmes</w:t>
      </w:r>
      <w:r w:rsidR="003045D8">
        <w:rPr>
          <w:rFonts w:ascii="Arial" w:hAnsi="Arial" w:cs="Arial"/>
          <w:lang w:val="en-GB"/>
        </w:rPr>
        <w:t>.</w:t>
      </w:r>
    </w:p>
    <w:p w14:paraId="0E57F2B0" w14:textId="150065D7" w:rsidR="00F30CA2" w:rsidRPr="00485454" w:rsidRDefault="005F6F6A" w:rsidP="00BF6AFA">
      <w:pPr>
        <w:spacing w:after="120"/>
        <w:jc w:val="both"/>
        <w:rPr>
          <w:rFonts w:cs="Arial"/>
          <w:lang w:val="en-GB"/>
        </w:rPr>
      </w:pPr>
      <w:r w:rsidRPr="00485454">
        <w:rPr>
          <w:rFonts w:cs="Arial"/>
          <w:b/>
          <w:bCs/>
          <w:lang w:val="en-GB"/>
        </w:rPr>
        <w:t>Individual experts</w:t>
      </w:r>
      <w:r w:rsidRPr="00485454">
        <w:rPr>
          <w:rFonts w:cs="Arial"/>
          <w:lang w:val="en-GB"/>
        </w:rPr>
        <w:t xml:space="preserve"> proposed for this assignment shall</w:t>
      </w:r>
      <w:r w:rsidR="00583E14" w:rsidRPr="00485454">
        <w:rPr>
          <w:rFonts w:cs="Arial"/>
          <w:lang w:val="en-GB"/>
        </w:rPr>
        <w:t>, collectively,</w:t>
      </w:r>
      <w:r w:rsidRPr="00485454">
        <w:rPr>
          <w:rFonts w:cs="Arial"/>
          <w:lang w:val="en-GB"/>
        </w:rPr>
        <w:t xml:space="preserve"> meet the following criteria:</w:t>
      </w:r>
    </w:p>
    <w:p w14:paraId="5AB3825E" w14:textId="23182E77" w:rsidR="4377DAE3" w:rsidRPr="00485454" w:rsidRDefault="4377DAE3" w:rsidP="3EDC11E8">
      <w:pPr>
        <w:pStyle w:val="Listenabsatz"/>
        <w:numPr>
          <w:ilvl w:val="0"/>
          <w:numId w:val="3"/>
        </w:numPr>
        <w:jc w:val="both"/>
        <w:rPr>
          <w:lang w:val="en-GB"/>
        </w:rPr>
      </w:pPr>
      <w:r w:rsidRPr="00485454">
        <w:rPr>
          <w:rFonts w:ascii="Arial" w:eastAsia="Arial" w:hAnsi="Arial" w:cs="Arial"/>
          <w:lang w:val="en-GB"/>
        </w:rPr>
        <w:t>Experience in providing technical assistance to LSGs in producing LED Plans and visioning LED</w:t>
      </w:r>
      <w:r w:rsidR="003045D8">
        <w:rPr>
          <w:rFonts w:ascii="Arial" w:eastAsia="Arial" w:hAnsi="Arial" w:cs="Arial"/>
          <w:lang w:val="en-GB"/>
        </w:rPr>
        <w:t>;</w:t>
      </w:r>
    </w:p>
    <w:p w14:paraId="5067D523" w14:textId="71BB4D3D" w:rsidR="79E71BA7" w:rsidRPr="00485454" w:rsidRDefault="00B62700" w:rsidP="00F30CA2">
      <w:pPr>
        <w:pStyle w:val="Listenabsatz"/>
        <w:numPr>
          <w:ilvl w:val="0"/>
          <w:numId w:val="3"/>
        </w:numPr>
        <w:jc w:val="both"/>
        <w:rPr>
          <w:rFonts w:eastAsia="Arial" w:cs="Arial"/>
          <w:lang w:val="en-GB"/>
        </w:rPr>
      </w:pPr>
      <w:r w:rsidRPr="00485454">
        <w:rPr>
          <w:rFonts w:ascii="Arial" w:eastAsia="Arial" w:hAnsi="Arial" w:cs="Arial"/>
          <w:lang w:val="en-GB"/>
        </w:rPr>
        <w:t>Considerable e</w:t>
      </w:r>
      <w:r w:rsidR="79E71BA7" w:rsidRPr="00485454">
        <w:rPr>
          <w:rFonts w:ascii="Arial" w:eastAsia="Arial" w:hAnsi="Arial" w:cs="Arial"/>
          <w:lang w:val="en-GB"/>
        </w:rPr>
        <w:t xml:space="preserve">xperience in provision of LED training services </w:t>
      </w:r>
      <w:r w:rsidR="3B4966D4" w:rsidRPr="00485454">
        <w:rPr>
          <w:rFonts w:ascii="Arial" w:eastAsia="Arial" w:hAnsi="Arial" w:cs="Arial"/>
          <w:lang w:val="en-GB"/>
        </w:rPr>
        <w:t xml:space="preserve">as part of capacity enhancement </w:t>
      </w:r>
      <w:r w:rsidR="79E71BA7" w:rsidRPr="00485454">
        <w:rPr>
          <w:rFonts w:ascii="Arial" w:eastAsia="Arial" w:hAnsi="Arial" w:cs="Arial"/>
          <w:lang w:val="en-GB"/>
        </w:rPr>
        <w:t>to partner institutions</w:t>
      </w:r>
      <w:r w:rsidR="003045D8">
        <w:rPr>
          <w:rFonts w:ascii="Arial" w:eastAsia="Arial" w:hAnsi="Arial" w:cs="Arial"/>
          <w:lang w:val="en-GB"/>
        </w:rPr>
        <w:t>;</w:t>
      </w:r>
    </w:p>
    <w:p w14:paraId="4DBCD214" w14:textId="7F70890D" w:rsidR="00B62700" w:rsidRPr="00485454" w:rsidRDefault="00B62700" w:rsidP="00B62700">
      <w:pPr>
        <w:pStyle w:val="Listenabsatz"/>
        <w:numPr>
          <w:ilvl w:val="0"/>
          <w:numId w:val="3"/>
        </w:numPr>
        <w:jc w:val="both"/>
        <w:rPr>
          <w:rFonts w:eastAsia="Arial" w:cs="Arial"/>
          <w:lang w:val="en-GB"/>
        </w:rPr>
      </w:pPr>
      <w:r w:rsidRPr="00485454">
        <w:rPr>
          <w:rFonts w:ascii="Arial" w:eastAsia="Arial" w:hAnsi="Arial" w:cs="Arial"/>
          <w:lang w:val="en-GB"/>
        </w:rPr>
        <w:t>Experience in socio-economic planning with emphasis on LED</w:t>
      </w:r>
      <w:r w:rsidR="003045D8">
        <w:rPr>
          <w:rFonts w:ascii="Arial" w:eastAsia="Arial" w:hAnsi="Arial" w:cs="Arial"/>
          <w:lang w:val="en-GB"/>
        </w:rPr>
        <w:t>;</w:t>
      </w:r>
    </w:p>
    <w:p w14:paraId="4D3D2EAB" w14:textId="1B46A26D" w:rsidR="73620E56" w:rsidRPr="00485454" w:rsidRDefault="73620E56" w:rsidP="00F30CA2">
      <w:pPr>
        <w:pStyle w:val="Listenabsatz"/>
        <w:numPr>
          <w:ilvl w:val="0"/>
          <w:numId w:val="3"/>
        </w:numPr>
        <w:jc w:val="both"/>
        <w:rPr>
          <w:rFonts w:eastAsia="Arial" w:cs="Arial"/>
          <w:lang w:val="en-GB"/>
        </w:rPr>
      </w:pPr>
      <w:r w:rsidRPr="00485454">
        <w:rPr>
          <w:rFonts w:ascii="Arial" w:eastAsia="Arial" w:hAnsi="Arial" w:cs="Arial"/>
          <w:lang w:val="en-GB"/>
        </w:rPr>
        <w:t>Cooperation and negotiation skills in interactions with national and local authorities</w:t>
      </w:r>
      <w:r w:rsidR="003045D8">
        <w:rPr>
          <w:rFonts w:ascii="Arial" w:eastAsia="Arial" w:hAnsi="Arial" w:cs="Arial"/>
          <w:lang w:val="en-GB"/>
        </w:rPr>
        <w:t>;</w:t>
      </w:r>
    </w:p>
    <w:p w14:paraId="47541E1F" w14:textId="7FD1ECF6" w:rsidR="47B35A5A" w:rsidRPr="00485454" w:rsidRDefault="47B35A5A" w:rsidP="190C71E3">
      <w:pPr>
        <w:pStyle w:val="Listenabsatz"/>
        <w:numPr>
          <w:ilvl w:val="0"/>
          <w:numId w:val="3"/>
        </w:numPr>
        <w:jc w:val="both"/>
        <w:rPr>
          <w:lang w:val="en-GB"/>
        </w:rPr>
      </w:pPr>
      <w:r w:rsidRPr="00485454">
        <w:rPr>
          <w:rFonts w:ascii="Arial" w:eastAsia="Arial" w:hAnsi="Arial" w:cs="Arial"/>
          <w:lang w:val="en-GB"/>
        </w:rPr>
        <w:t xml:space="preserve">Experience in drawing recommendations and proposals on review/improvement of </w:t>
      </w:r>
      <w:r w:rsidR="3A66D30B" w:rsidRPr="00485454">
        <w:rPr>
          <w:rFonts w:ascii="Arial" w:eastAsia="Arial" w:hAnsi="Arial" w:cs="Arial"/>
          <w:lang w:val="en-GB"/>
        </w:rPr>
        <w:t xml:space="preserve">national and municipal </w:t>
      </w:r>
      <w:r w:rsidRPr="00485454">
        <w:rPr>
          <w:rFonts w:ascii="Arial" w:eastAsia="Arial" w:hAnsi="Arial" w:cs="Arial"/>
          <w:lang w:val="en-GB"/>
        </w:rPr>
        <w:t>institutional and legal frameworks regulating LED</w:t>
      </w:r>
      <w:r w:rsidR="003045D8">
        <w:rPr>
          <w:rFonts w:ascii="Arial" w:eastAsia="Arial" w:hAnsi="Arial" w:cs="Arial"/>
          <w:lang w:val="en-GB"/>
        </w:rPr>
        <w:t>;</w:t>
      </w:r>
    </w:p>
    <w:p w14:paraId="2DAA2654" w14:textId="130049F8" w:rsidR="00614F25" w:rsidRPr="006074C6" w:rsidRDefault="73620E56" w:rsidP="00C82C87">
      <w:pPr>
        <w:pStyle w:val="Listenabsatz"/>
        <w:numPr>
          <w:ilvl w:val="0"/>
          <w:numId w:val="3"/>
        </w:numPr>
        <w:contextualSpacing w:val="0"/>
        <w:jc w:val="both"/>
        <w:rPr>
          <w:rFonts w:eastAsia="Arial" w:cs="Arial"/>
          <w:lang w:val="en-GB"/>
        </w:rPr>
      </w:pPr>
      <w:r w:rsidRPr="00485454">
        <w:rPr>
          <w:rFonts w:ascii="Arial" w:eastAsia="Arial" w:hAnsi="Arial" w:cs="Arial"/>
          <w:lang w:val="en-GB"/>
        </w:rPr>
        <w:t>Formal education and/or practical experience relevant to LED</w:t>
      </w:r>
      <w:r w:rsidR="003045D8">
        <w:rPr>
          <w:rFonts w:ascii="Arial" w:eastAsia="Arial" w:hAnsi="Arial" w:cs="Arial"/>
          <w:lang w:val="en-GB"/>
        </w:rPr>
        <w:t>.</w:t>
      </w:r>
      <w:r w:rsidRPr="00485454">
        <w:rPr>
          <w:rFonts w:ascii="Arial" w:eastAsia="Arial" w:hAnsi="Arial" w:cs="Arial"/>
          <w:lang w:val="en-GB"/>
        </w:rPr>
        <w:t xml:space="preserve"> </w:t>
      </w:r>
    </w:p>
    <w:p w14:paraId="0D226AF7" w14:textId="4E7FAA01" w:rsidR="006074C6" w:rsidRDefault="006074C6" w:rsidP="006074C6">
      <w:pPr>
        <w:jc w:val="both"/>
        <w:rPr>
          <w:rFonts w:eastAsia="Arial" w:cs="Arial"/>
          <w:lang w:val="en-GB"/>
        </w:rPr>
      </w:pPr>
    </w:p>
    <w:p w14:paraId="12A9D04B" w14:textId="77777777" w:rsidR="006074C6" w:rsidRPr="006074C6" w:rsidRDefault="006074C6" w:rsidP="006074C6">
      <w:pPr>
        <w:jc w:val="both"/>
        <w:rPr>
          <w:rFonts w:eastAsia="Arial" w:cs="Arial"/>
          <w:lang w:val="en-GB"/>
        </w:rPr>
      </w:pPr>
    </w:p>
    <w:p w14:paraId="0C252DFA" w14:textId="3CFB03BC" w:rsidR="00B41B26" w:rsidRPr="00485454" w:rsidRDefault="00B41B26" w:rsidP="7694678F">
      <w:pPr>
        <w:pStyle w:val="Listenabsatz"/>
        <w:numPr>
          <w:ilvl w:val="0"/>
          <w:numId w:val="25"/>
        </w:numPr>
        <w:spacing w:before="240" w:after="120"/>
        <w:ind w:left="714" w:hanging="357"/>
        <w:contextualSpacing w:val="0"/>
        <w:jc w:val="both"/>
        <w:rPr>
          <w:rFonts w:ascii="Arial" w:hAnsi="Arial" w:cs="Arial"/>
          <w:b/>
          <w:bCs/>
          <w:lang w:val="en-GB"/>
        </w:rPr>
      </w:pPr>
      <w:r w:rsidRPr="05FC6599">
        <w:rPr>
          <w:rFonts w:ascii="Arial" w:hAnsi="Arial" w:cs="Arial"/>
          <w:b/>
          <w:bCs/>
          <w:lang w:val="en-GB"/>
        </w:rPr>
        <w:lastRenderedPageBreak/>
        <w:t>Submission of Technical and Financial proposal</w:t>
      </w:r>
    </w:p>
    <w:p w14:paraId="6465C2D9" w14:textId="64A0165F" w:rsidR="0057408F" w:rsidRPr="00485454" w:rsidRDefault="00B41B26" w:rsidP="00400282">
      <w:pPr>
        <w:spacing w:after="120" w:line="276" w:lineRule="auto"/>
        <w:jc w:val="both"/>
        <w:rPr>
          <w:rFonts w:cs="Arial"/>
          <w:szCs w:val="22"/>
          <w:lang w:val="en-GB"/>
        </w:rPr>
      </w:pPr>
      <w:r w:rsidRPr="00485454">
        <w:rPr>
          <w:rFonts w:cs="Arial"/>
          <w:szCs w:val="22"/>
          <w:lang w:val="en-GB"/>
        </w:rPr>
        <w:t xml:space="preserve">The present assignment is subject to an open tender </w:t>
      </w:r>
      <w:r w:rsidR="0057408F" w:rsidRPr="00485454">
        <w:rPr>
          <w:rFonts w:cs="Arial"/>
          <w:szCs w:val="22"/>
          <w:lang w:val="en-GB"/>
        </w:rPr>
        <w:t>for which only Armenia-based consultancy firms are eligible</w:t>
      </w:r>
      <w:r w:rsidRPr="00485454">
        <w:rPr>
          <w:rFonts w:cs="Arial"/>
          <w:szCs w:val="22"/>
          <w:lang w:val="en-GB"/>
        </w:rPr>
        <w:t>. Bidders shall submit a Technical and Financial Proposal</w:t>
      </w:r>
      <w:r w:rsidR="0057408F" w:rsidRPr="00485454">
        <w:rPr>
          <w:rFonts w:cs="Arial"/>
          <w:szCs w:val="22"/>
          <w:lang w:val="en-GB"/>
        </w:rPr>
        <w:t xml:space="preserve"> in English language.</w:t>
      </w:r>
    </w:p>
    <w:p w14:paraId="6A899B13" w14:textId="354DFD32" w:rsidR="0057408F" w:rsidRPr="00485454" w:rsidRDefault="0057408F" w:rsidP="00400282">
      <w:pPr>
        <w:spacing w:after="120" w:line="276" w:lineRule="auto"/>
        <w:contextualSpacing/>
        <w:jc w:val="both"/>
        <w:rPr>
          <w:rFonts w:cs="Arial"/>
          <w:szCs w:val="22"/>
          <w:lang w:val="en-GB"/>
        </w:rPr>
      </w:pPr>
      <w:r w:rsidRPr="00485454">
        <w:rPr>
          <w:rFonts w:cs="Arial"/>
          <w:szCs w:val="22"/>
          <w:lang w:val="en-GB"/>
        </w:rPr>
        <w:t>The Technical Proposal shall entail but is not limited to the following elements:</w:t>
      </w:r>
    </w:p>
    <w:p w14:paraId="3C0F1419" w14:textId="3EA787B3" w:rsidR="0057408F" w:rsidRPr="00485454" w:rsidRDefault="0057408F" w:rsidP="00400282">
      <w:pPr>
        <w:pStyle w:val="Listenabsatz"/>
        <w:numPr>
          <w:ilvl w:val="0"/>
          <w:numId w:val="33"/>
        </w:numPr>
        <w:spacing w:after="120"/>
        <w:jc w:val="both"/>
        <w:rPr>
          <w:rFonts w:ascii="Arial" w:hAnsi="Arial" w:cs="Arial"/>
          <w:lang w:val="en-GB"/>
        </w:rPr>
      </w:pPr>
      <w:r w:rsidRPr="00485454">
        <w:rPr>
          <w:rFonts w:ascii="Arial" w:hAnsi="Arial" w:cs="Arial"/>
          <w:lang w:val="en-GB"/>
        </w:rPr>
        <w:t xml:space="preserve">Initial work plan for the overall assignment based on the timeframe indicated in the Chapter </w:t>
      </w:r>
      <w:r w:rsidR="0663FF2F" w:rsidRPr="00485454">
        <w:rPr>
          <w:rFonts w:ascii="Arial" w:hAnsi="Arial" w:cs="Arial"/>
          <w:lang w:val="en-GB"/>
        </w:rPr>
        <w:t>6</w:t>
      </w:r>
      <w:r w:rsidRPr="00485454">
        <w:rPr>
          <w:rFonts w:ascii="Arial" w:hAnsi="Arial" w:cs="Arial"/>
          <w:lang w:val="en-GB"/>
        </w:rPr>
        <w:t xml:space="preserve"> of the Terms of Reference;</w:t>
      </w:r>
    </w:p>
    <w:p w14:paraId="2CDB90C1" w14:textId="6DEF1069" w:rsidR="0057408F" w:rsidRPr="00485454" w:rsidRDefault="0057408F" w:rsidP="00400282">
      <w:pPr>
        <w:pStyle w:val="Listenabsatz"/>
        <w:numPr>
          <w:ilvl w:val="0"/>
          <w:numId w:val="33"/>
        </w:numPr>
        <w:spacing w:after="120"/>
        <w:jc w:val="both"/>
        <w:rPr>
          <w:rFonts w:ascii="Arial" w:hAnsi="Arial" w:cs="Arial"/>
          <w:lang w:val="en-GB"/>
        </w:rPr>
      </w:pPr>
      <w:r w:rsidRPr="00485454">
        <w:rPr>
          <w:rFonts w:ascii="Arial" w:hAnsi="Arial" w:cs="Arial"/>
          <w:lang w:val="en-GB"/>
        </w:rPr>
        <w:t>Proposed methodology and conceptual approach for each of the assignment’s Tasks</w:t>
      </w:r>
      <w:r w:rsidR="00C1627F" w:rsidRPr="00485454">
        <w:rPr>
          <w:rFonts w:ascii="Arial" w:hAnsi="Arial" w:cs="Arial"/>
          <w:lang w:val="en-GB"/>
        </w:rPr>
        <w:t xml:space="preserve"> as presented in the Chapter </w:t>
      </w:r>
      <w:r w:rsidR="456F1728" w:rsidRPr="00485454">
        <w:rPr>
          <w:rFonts w:ascii="Arial" w:hAnsi="Arial" w:cs="Arial"/>
          <w:lang w:val="en-GB"/>
        </w:rPr>
        <w:t>4</w:t>
      </w:r>
      <w:r w:rsidR="00C1627F" w:rsidRPr="00485454">
        <w:rPr>
          <w:rFonts w:ascii="Arial" w:hAnsi="Arial" w:cs="Arial"/>
          <w:lang w:val="en-GB"/>
        </w:rPr>
        <w:t xml:space="preserve"> of the Terms of Reference</w:t>
      </w:r>
      <w:r w:rsidRPr="00485454">
        <w:rPr>
          <w:rFonts w:ascii="Arial" w:hAnsi="Arial" w:cs="Arial"/>
          <w:lang w:val="en-GB"/>
        </w:rPr>
        <w:t>;</w:t>
      </w:r>
    </w:p>
    <w:p w14:paraId="1D79D3E0" w14:textId="5E89F8F3" w:rsidR="0057408F" w:rsidRPr="00485454" w:rsidRDefault="0057408F" w:rsidP="00400282">
      <w:pPr>
        <w:pStyle w:val="Listenabsatz"/>
        <w:numPr>
          <w:ilvl w:val="0"/>
          <w:numId w:val="33"/>
        </w:numPr>
        <w:spacing w:after="120"/>
        <w:jc w:val="both"/>
        <w:rPr>
          <w:rFonts w:ascii="Arial" w:hAnsi="Arial" w:cs="Arial"/>
          <w:lang w:val="en-GB"/>
        </w:rPr>
      </w:pPr>
      <w:r w:rsidRPr="00485454">
        <w:rPr>
          <w:rFonts w:ascii="Arial" w:hAnsi="Arial" w:cs="Arial"/>
          <w:lang w:val="en-GB"/>
        </w:rPr>
        <w:t>Initial work plan and identification of key local stakeholders to be included in trainings;</w:t>
      </w:r>
    </w:p>
    <w:p w14:paraId="6A63BD9A" w14:textId="6A6EDAE3" w:rsidR="0057408F" w:rsidRPr="00485454" w:rsidRDefault="0057408F" w:rsidP="00400282">
      <w:pPr>
        <w:pStyle w:val="Listenabsatz"/>
        <w:numPr>
          <w:ilvl w:val="0"/>
          <w:numId w:val="33"/>
        </w:numPr>
        <w:spacing w:after="120"/>
        <w:jc w:val="both"/>
        <w:rPr>
          <w:rFonts w:ascii="Arial" w:hAnsi="Arial" w:cs="Arial"/>
          <w:lang w:val="en-GB"/>
        </w:rPr>
      </w:pPr>
      <w:r w:rsidRPr="00485454">
        <w:rPr>
          <w:rFonts w:ascii="Arial" w:hAnsi="Arial" w:cs="Arial"/>
          <w:lang w:val="en-GB"/>
        </w:rPr>
        <w:t xml:space="preserve">Initial proposal </w:t>
      </w:r>
      <w:r w:rsidR="00C1627F" w:rsidRPr="00485454">
        <w:rPr>
          <w:rFonts w:ascii="Arial" w:hAnsi="Arial" w:cs="Arial"/>
          <w:lang w:val="en-GB"/>
        </w:rPr>
        <w:t>for</w:t>
      </w:r>
      <w:r w:rsidRPr="00485454">
        <w:rPr>
          <w:rFonts w:ascii="Arial" w:hAnsi="Arial" w:cs="Arial"/>
          <w:lang w:val="en-GB"/>
        </w:rPr>
        <w:t xml:space="preserve"> clustering targeted municipalities according to their geographical locations</w:t>
      </w:r>
      <w:r w:rsidR="00C1627F" w:rsidRPr="00485454">
        <w:rPr>
          <w:rFonts w:ascii="Arial" w:hAnsi="Arial" w:cs="Arial"/>
          <w:lang w:val="en-GB"/>
        </w:rPr>
        <w:t>;</w:t>
      </w:r>
    </w:p>
    <w:p w14:paraId="39D0389E" w14:textId="0418CC6F" w:rsidR="00C1627F" w:rsidRPr="00485454" w:rsidRDefault="00C1627F" w:rsidP="00400282">
      <w:pPr>
        <w:pStyle w:val="Listenabsatz"/>
        <w:numPr>
          <w:ilvl w:val="0"/>
          <w:numId w:val="33"/>
        </w:numPr>
        <w:spacing w:after="120"/>
        <w:jc w:val="both"/>
        <w:rPr>
          <w:rFonts w:ascii="Arial" w:hAnsi="Arial" w:cs="Arial"/>
          <w:lang w:val="en-GB"/>
        </w:rPr>
      </w:pPr>
      <w:r w:rsidRPr="00485454">
        <w:rPr>
          <w:rFonts w:ascii="Arial" w:hAnsi="Arial" w:cs="Arial"/>
          <w:lang w:val="en-GB"/>
        </w:rPr>
        <w:t>Detailed experience of the bidder in regard to the support of LED at local level;</w:t>
      </w:r>
    </w:p>
    <w:p w14:paraId="432C0FCC" w14:textId="3A5FC658" w:rsidR="00026F3F" w:rsidRPr="002C3CD3" w:rsidRDefault="00C1627F" w:rsidP="00400282">
      <w:pPr>
        <w:pStyle w:val="Listenabsatz"/>
        <w:numPr>
          <w:ilvl w:val="0"/>
          <w:numId w:val="33"/>
        </w:numPr>
        <w:spacing w:after="120"/>
        <w:jc w:val="both"/>
        <w:rPr>
          <w:rFonts w:ascii="Arial" w:hAnsi="Arial" w:cs="Arial"/>
          <w:lang w:val="en-GB"/>
        </w:rPr>
      </w:pPr>
      <w:r w:rsidRPr="00485454">
        <w:rPr>
          <w:rFonts w:ascii="Arial" w:hAnsi="Arial" w:cs="Arial"/>
          <w:lang w:val="en-GB"/>
        </w:rPr>
        <w:t xml:space="preserve">Detailed CVs of the consultants that the bidder plans to involve for the assignment. </w:t>
      </w:r>
    </w:p>
    <w:p w14:paraId="211FB67A" w14:textId="11AB685C" w:rsidR="00026F3F" w:rsidRPr="00400282" w:rsidRDefault="00026F3F" w:rsidP="00400282">
      <w:pPr>
        <w:spacing w:after="120" w:line="276" w:lineRule="auto"/>
        <w:jc w:val="both"/>
        <w:rPr>
          <w:rFonts w:cs="Arial"/>
          <w:szCs w:val="22"/>
          <w:lang w:val="en-GB"/>
        </w:rPr>
      </w:pPr>
      <w:r w:rsidRPr="00485454">
        <w:rPr>
          <w:rFonts w:cs="Arial"/>
          <w:szCs w:val="22"/>
          <w:lang w:val="en-GB"/>
        </w:rPr>
        <w:t>The Contractor shall further take care of transportation for travelling to municipalities, accommodation</w:t>
      </w:r>
      <w:r w:rsidR="006731D7">
        <w:rPr>
          <w:rFonts w:cs="Arial"/>
          <w:szCs w:val="22"/>
          <w:lang w:val="en-GB"/>
        </w:rPr>
        <w:t>,</w:t>
      </w:r>
      <w:r w:rsidRPr="00485454">
        <w:rPr>
          <w:rFonts w:cs="Arial"/>
          <w:szCs w:val="22"/>
          <w:lang w:val="en-GB"/>
        </w:rPr>
        <w:t xml:space="preserve"> and other logistics. The travel costs are reimbursed by 70 AMD per km as a lump sum or based on market price upon provision of evidence, and the accommodation based on evidence provided by the Consultant. Foreseen transportation and accommodation modalities must be part of the Technical Proposal and the costs of transportation and accommodation</w:t>
      </w:r>
      <w:r w:rsidR="00152BE6" w:rsidRPr="00485454">
        <w:rPr>
          <w:rFonts w:cs="Arial"/>
          <w:szCs w:val="22"/>
          <w:lang w:val="en-GB"/>
        </w:rPr>
        <w:t xml:space="preserve">, as well as catering costs in the regions for trainings, </w:t>
      </w:r>
      <w:r w:rsidR="00946649" w:rsidRPr="00485454">
        <w:rPr>
          <w:rFonts w:cs="Arial"/>
          <w:szCs w:val="22"/>
          <w:lang w:val="en-GB"/>
        </w:rPr>
        <w:t>costs arising from training facilities, and material costs such as printing,</w:t>
      </w:r>
      <w:r w:rsidRPr="00485454">
        <w:rPr>
          <w:rFonts w:cs="Arial"/>
          <w:szCs w:val="22"/>
          <w:lang w:val="en-GB"/>
        </w:rPr>
        <w:t xml:space="preserve"> </w:t>
      </w:r>
      <w:r w:rsidRPr="00485454">
        <w:rPr>
          <w:rFonts w:cs="Arial"/>
          <w:b/>
          <w:bCs/>
          <w:szCs w:val="22"/>
          <w:lang w:val="en-GB"/>
        </w:rPr>
        <w:t>must be included in the financial offer</w:t>
      </w:r>
      <w:r w:rsidRPr="00485454">
        <w:rPr>
          <w:rFonts w:cs="Arial"/>
          <w:szCs w:val="22"/>
          <w:lang w:val="en-GB"/>
        </w:rPr>
        <w:t xml:space="preserve">. </w:t>
      </w:r>
      <w:r w:rsidR="00037A96" w:rsidRPr="00485454">
        <w:rPr>
          <w:rFonts w:cs="Arial"/>
          <w:lang w:val="en-GB"/>
        </w:rPr>
        <w:t>These expenses shall be settled directly by the incumbent according to the proposed schedule and will be closely monitored by the Programme.</w:t>
      </w:r>
    </w:p>
    <w:p w14:paraId="77DA70B4" w14:textId="28CED19B" w:rsidR="00C1627F" w:rsidRPr="00485454" w:rsidRDefault="00C1627F" w:rsidP="00400282">
      <w:pPr>
        <w:spacing w:after="120" w:line="276" w:lineRule="auto"/>
        <w:jc w:val="both"/>
        <w:rPr>
          <w:rFonts w:cs="Arial"/>
          <w:lang w:val="en-GB"/>
        </w:rPr>
      </w:pPr>
      <w:r w:rsidRPr="00485454">
        <w:rPr>
          <w:rFonts w:cs="Arial"/>
          <w:lang w:val="en-GB"/>
        </w:rPr>
        <w:t>The assessment grid used for the assessment of the Technical Proposal is part of the tender documentation and elaborates on the expected requirements of the bidders.</w:t>
      </w:r>
    </w:p>
    <w:p w14:paraId="38DCBAD0" w14:textId="6643A6FA" w:rsidR="0057408F" w:rsidRPr="00485454" w:rsidRDefault="00C1627F" w:rsidP="00400282">
      <w:pPr>
        <w:spacing w:after="120" w:line="276" w:lineRule="auto"/>
        <w:jc w:val="both"/>
        <w:rPr>
          <w:rFonts w:cs="Arial"/>
          <w:lang w:val="en-GB"/>
        </w:rPr>
      </w:pPr>
      <w:r w:rsidRPr="00485454">
        <w:rPr>
          <w:rFonts w:cs="Arial"/>
          <w:lang w:val="en-GB"/>
        </w:rPr>
        <w:t xml:space="preserve">Please note that the </w:t>
      </w:r>
      <w:r w:rsidR="0057408F" w:rsidRPr="00485454">
        <w:rPr>
          <w:rFonts w:cs="Arial"/>
          <w:lang w:val="en-GB"/>
        </w:rPr>
        <w:t>GIZ security regulations strictly frame and restrict operations in Tavush and Gegharkunik</w:t>
      </w:r>
      <w:r w:rsidR="0240E88E" w:rsidRPr="00485454">
        <w:rPr>
          <w:rFonts w:cs="Arial"/>
          <w:lang w:val="en-GB"/>
        </w:rPr>
        <w:t>, Vayots Dzor and Syunik municipalities</w:t>
      </w:r>
      <w:r w:rsidR="0057408F" w:rsidRPr="00485454">
        <w:rPr>
          <w:rFonts w:cs="Arial"/>
          <w:lang w:val="en-GB"/>
        </w:rPr>
        <w:t xml:space="preserve">. Hence, </w:t>
      </w:r>
      <w:r w:rsidRPr="00485454">
        <w:rPr>
          <w:rFonts w:cs="Arial"/>
          <w:lang w:val="en-GB"/>
        </w:rPr>
        <w:t xml:space="preserve">GIZ </w:t>
      </w:r>
      <w:r w:rsidR="2AAACF2F" w:rsidRPr="00485454">
        <w:rPr>
          <w:rFonts w:cs="Arial"/>
          <w:lang w:val="en-GB"/>
        </w:rPr>
        <w:t>approval will be needed prior to organising trainings or visits in/to these areas.</w:t>
      </w:r>
    </w:p>
    <w:p w14:paraId="4A81E0DE" w14:textId="77777777" w:rsidR="0057408F" w:rsidRPr="00485454" w:rsidRDefault="0057408F" w:rsidP="002C3CD3">
      <w:pPr>
        <w:spacing w:after="120"/>
        <w:contextualSpacing/>
        <w:jc w:val="both"/>
        <w:rPr>
          <w:rFonts w:cs="Arial"/>
          <w:lang w:val="en-GB"/>
        </w:rPr>
      </w:pPr>
    </w:p>
    <w:p w14:paraId="41530CD2" w14:textId="6E1605A8" w:rsidR="00E736F4" w:rsidRPr="00485454" w:rsidRDefault="00E736F4" w:rsidP="002C3CD3">
      <w:pPr>
        <w:spacing w:after="120"/>
        <w:contextualSpacing/>
        <w:jc w:val="both"/>
        <w:rPr>
          <w:rFonts w:cs="Arial"/>
          <w:lang w:val="en-GB"/>
        </w:rPr>
      </w:pPr>
    </w:p>
    <w:p w14:paraId="5DE3F8D6" w14:textId="0DCE1EDC" w:rsidR="00037A96" w:rsidRPr="00485454" w:rsidRDefault="00037A96" w:rsidP="002C3CD3">
      <w:pPr>
        <w:spacing w:after="120"/>
        <w:contextualSpacing/>
        <w:jc w:val="both"/>
        <w:rPr>
          <w:rFonts w:cs="Arial"/>
          <w:lang w:val="en-GB"/>
        </w:rPr>
      </w:pPr>
    </w:p>
    <w:p w14:paraId="37828DBA" w14:textId="2683EE11" w:rsidR="00037A96" w:rsidRPr="00485454" w:rsidRDefault="00037A96" w:rsidP="0030104C">
      <w:pPr>
        <w:jc w:val="both"/>
        <w:rPr>
          <w:rFonts w:cs="Arial"/>
          <w:lang w:val="en-GB"/>
        </w:rPr>
      </w:pPr>
    </w:p>
    <w:p w14:paraId="2E50BF52" w14:textId="6AC868A8" w:rsidR="00037A96" w:rsidRPr="00485454" w:rsidRDefault="00037A96" w:rsidP="0030104C">
      <w:pPr>
        <w:jc w:val="both"/>
        <w:rPr>
          <w:rFonts w:cs="Arial"/>
          <w:lang w:val="en-GB"/>
        </w:rPr>
      </w:pPr>
    </w:p>
    <w:p w14:paraId="2563D3E4" w14:textId="01C4AA2C" w:rsidR="00037A96" w:rsidRPr="00485454" w:rsidRDefault="00037A96" w:rsidP="0030104C">
      <w:pPr>
        <w:jc w:val="both"/>
        <w:rPr>
          <w:rFonts w:cs="Arial"/>
          <w:lang w:val="en-GB"/>
        </w:rPr>
      </w:pPr>
    </w:p>
    <w:p w14:paraId="70C11360" w14:textId="3A114F53" w:rsidR="00037A96" w:rsidRPr="00485454" w:rsidRDefault="00037A96" w:rsidP="0030104C">
      <w:pPr>
        <w:jc w:val="both"/>
        <w:rPr>
          <w:rFonts w:cs="Arial"/>
          <w:lang w:val="en-GB"/>
        </w:rPr>
      </w:pPr>
    </w:p>
    <w:p w14:paraId="451D00E3" w14:textId="04B7E739" w:rsidR="00037A96" w:rsidRPr="00485454" w:rsidRDefault="00037A96" w:rsidP="0030104C">
      <w:pPr>
        <w:jc w:val="both"/>
        <w:rPr>
          <w:rFonts w:cs="Arial"/>
          <w:lang w:val="en-GB"/>
        </w:rPr>
      </w:pPr>
    </w:p>
    <w:p w14:paraId="1E2E389F" w14:textId="6E3EE71A" w:rsidR="00037A96" w:rsidRPr="00485454" w:rsidRDefault="00037A96" w:rsidP="0030104C">
      <w:pPr>
        <w:jc w:val="both"/>
        <w:rPr>
          <w:rFonts w:cs="Arial"/>
          <w:lang w:val="en-GB"/>
        </w:rPr>
      </w:pPr>
    </w:p>
    <w:p w14:paraId="7E34CB40" w14:textId="4A664B5D" w:rsidR="00037A96" w:rsidRPr="00485454" w:rsidRDefault="00037A96" w:rsidP="0030104C">
      <w:pPr>
        <w:jc w:val="both"/>
        <w:rPr>
          <w:rFonts w:cs="Arial"/>
          <w:lang w:val="en-GB"/>
        </w:rPr>
      </w:pPr>
    </w:p>
    <w:p w14:paraId="51660507" w14:textId="51DBBA01" w:rsidR="00037A96" w:rsidRPr="00485454" w:rsidRDefault="00037A96" w:rsidP="0030104C">
      <w:pPr>
        <w:jc w:val="both"/>
        <w:rPr>
          <w:rFonts w:cs="Arial"/>
          <w:lang w:val="en-GB"/>
        </w:rPr>
      </w:pPr>
    </w:p>
    <w:p w14:paraId="757B97BE" w14:textId="21795CFF" w:rsidR="00037A96" w:rsidRPr="00485454" w:rsidRDefault="00037A96" w:rsidP="0030104C">
      <w:pPr>
        <w:jc w:val="both"/>
        <w:rPr>
          <w:rFonts w:cs="Arial"/>
          <w:lang w:val="en-GB"/>
        </w:rPr>
      </w:pPr>
    </w:p>
    <w:p w14:paraId="47F1579C" w14:textId="10BAE5A0" w:rsidR="00037A96" w:rsidRPr="00485454" w:rsidRDefault="00037A96" w:rsidP="0030104C">
      <w:pPr>
        <w:jc w:val="both"/>
        <w:rPr>
          <w:rFonts w:cs="Arial"/>
          <w:lang w:val="en-GB"/>
        </w:rPr>
      </w:pPr>
    </w:p>
    <w:p w14:paraId="6D07D874" w14:textId="6107D638" w:rsidR="00037A96" w:rsidRPr="00485454" w:rsidRDefault="00037A96" w:rsidP="0030104C">
      <w:pPr>
        <w:jc w:val="both"/>
        <w:rPr>
          <w:rFonts w:cs="Arial"/>
          <w:lang w:val="en-GB"/>
        </w:rPr>
      </w:pPr>
    </w:p>
    <w:p w14:paraId="04B21AC2" w14:textId="3FB933FB" w:rsidR="00037A96" w:rsidRPr="00485454" w:rsidRDefault="00037A96" w:rsidP="0030104C">
      <w:pPr>
        <w:jc w:val="both"/>
        <w:rPr>
          <w:rFonts w:cs="Arial"/>
          <w:lang w:val="en-GB"/>
        </w:rPr>
      </w:pPr>
    </w:p>
    <w:p w14:paraId="3F0C042B" w14:textId="4B08B33F" w:rsidR="00037A96" w:rsidRPr="00485454" w:rsidRDefault="00037A96" w:rsidP="0030104C">
      <w:pPr>
        <w:jc w:val="both"/>
        <w:rPr>
          <w:rFonts w:cs="Arial"/>
          <w:lang w:val="en-GB"/>
        </w:rPr>
      </w:pPr>
    </w:p>
    <w:p w14:paraId="27D1589F" w14:textId="25419259" w:rsidR="00037A96" w:rsidRPr="00485454" w:rsidRDefault="00037A96" w:rsidP="0030104C">
      <w:pPr>
        <w:jc w:val="both"/>
        <w:rPr>
          <w:rFonts w:cs="Arial"/>
          <w:lang w:val="en-GB"/>
        </w:rPr>
      </w:pPr>
    </w:p>
    <w:p w14:paraId="5F9817DA" w14:textId="4AE24B9F" w:rsidR="00037A96" w:rsidRDefault="00037A96" w:rsidP="0030104C">
      <w:pPr>
        <w:jc w:val="both"/>
        <w:rPr>
          <w:rFonts w:cs="Arial"/>
          <w:lang w:val="en-GB"/>
        </w:rPr>
      </w:pPr>
    </w:p>
    <w:p w14:paraId="667BE87A" w14:textId="3A9288BB" w:rsidR="002C3CD3" w:rsidRDefault="002C3CD3" w:rsidP="0030104C">
      <w:pPr>
        <w:jc w:val="both"/>
        <w:rPr>
          <w:rFonts w:cs="Arial"/>
          <w:lang w:val="en-GB"/>
        </w:rPr>
      </w:pPr>
    </w:p>
    <w:p w14:paraId="609F99EA" w14:textId="77777777" w:rsidR="00D50952" w:rsidRPr="00485454" w:rsidRDefault="00D50952" w:rsidP="00D50952">
      <w:pPr>
        <w:rPr>
          <w:rFonts w:cs="Arial"/>
          <w:lang w:val="en-GB"/>
        </w:rPr>
      </w:pPr>
    </w:p>
    <w:p w14:paraId="65E0A29D" w14:textId="77777777" w:rsidR="00D50952" w:rsidRPr="00485454" w:rsidRDefault="00D50952" w:rsidP="00D50952">
      <w:pPr>
        <w:rPr>
          <w:rFonts w:cs="Arial"/>
          <w:b/>
          <w:bCs/>
          <w:lang w:val="en-GB"/>
        </w:rPr>
      </w:pPr>
      <w:r w:rsidRPr="00485454">
        <w:rPr>
          <w:rFonts w:cs="Arial"/>
          <w:b/>
          <w:bCs/>
          <w:lang w:val="en-GB"/>
        </w:rPr>
        <w:lastRenderedPageBreak/>
        <w:t>Annex 1: List of partner LSGs for the assignment</w:t>
      </w:r>
    </w:p>
    <w:p w14:paraId="11031086" w14:textId="77777777" w:rsidR="00D50952" w:rsidRPr="00485454" w:rsidRDefault="00D50952" w:rsidP="00D50952">
      <w:pPr>
        <w:rPr>
          <w:rFonts w:cs="Arial"/>
          <w:lang w:val="en-GB"/>
        </w:rPr>
      </w:pPr>
    </w:p>
    <w:tbl>
      <w:tblPr>
        <w:tblStyle w:val="Tabellenraster"/>
        <w:tblW w:w="0" w:type="auto"/>
        <w:tblLook w:val="04A0" w:firstRow="1" w:lastRow="0" w:firstColumn="1" w:lastColumn="0" w:noHBand="0" w:noVBand="1"/>
      </w:tblPr>
      <w:tblGrid>
        <w:gridCol w:w="4508"/>
        <w:gridCol w:w="4509"/>
      </w:tblGrid>
      <w:tr w:rsidR="00D50952" w:rsidRPr="00485454" w14:paraId="32335B61" w14:textId="77777777" w:rsidTr="6D13DA79">
        <w:tc>
          <w:tcPr>
            <w:tcW w:w="4508" w:type="dxa"/>
          </w:tcPr>
          <w:p w14:paraId="3D9DA0FF" w14:textId="77777777" w:rsidR="00D50952" w:rsidRPr="00485454" w:rsidRDefault="00D50952" w:rsidP="6D13DA79">
            <w:pPr>
              <w:jc w:val="center"/>
              <w:rPr>
                <w:rFonts w:cs="Arial"/>
                <w:b/>
                <w:bCs/>
                <w:lang w:val="en-GB"/>
              </w:rPr>
            </w:pPr>
            <w:r w:rsidRPr="00485454">
              <w:rPr>
                <w:rFonts w:cs="Arial"/>
                <w:b/>
                <w:bCs/>
                <w:lang w:val="en-GB"/>
              </w:rPr>
              <w:t>Marz</w:t>
            </w:r>
          </w:p>
        </w:tc>
        <w:tc>
          <w:tcPr>
            <w:tcW w:w="4509" w:type="dxa"/>
          </w:tcPr>
          <w:p w14:paraId="633638F1" w14:textId="77777777" w:rsidR="00D50952" w:rsidRPr="00485454" w:rsidRDefault="00D50952" w:rsidP="6D13DA79">
            <w:pPr>
              <w:jc w:val="center"/>
              <w:rPr>
                <w:rFonts w:cs="Arial"/>
                <w:b/>
                <w:bCs/>
                <w:lang w:val="en-GB"/>
              </w:rPr>
            </w:pPr>
            <w:r w:rsidRPr="00485454">
              <w:rPr>
                <w:rFonts w:cs="Arial"/>
                <w:b/>
                <w:bCs/>
                <w:lang w:val="en-GB"/>
              </w:rPr>
              <w:t>LSGs</w:t>
            </w:r>
          </w:p>
        </w:tc>
      </w:tr>
      <w:tr w:rsidR="00D50952" w:rsidRPr="00485454" w14:paraId="0D521F82" w14:textId="77777777" w:rsidTr="6D13DA79">
        <w:tc>
          <w:tcPr>
            <w:tcW w:w="4508" w:type="dxa"/>
            <w:vMerge w:val="restart"/>
          </w:tcPr>
          <w:p w14:paraId="77456C4E" w14:textId="77777777" w:rsidR="00D50952" w:rsidRPr="00485454" w:rsidRDefault="00D50952" w:rsidP="0048610B">
            <w:pPr>
              <w:rPr>
                <w:rFonts w:cs="Arial"/>
                <w:lang w:val="en-GB"/>
              </w:rPr>
            </w:pPr>
          </w:p>
          <w:p w14:paraId="3D58E4E5" w14:textId="77777777" w:rsidR="00D50952" w:rsidRPr="00485454" w:rsidRDefault="00D50952" w:rsidP="0048610B">
            <w:pPr>
              <w:rPr>
                <w:rFonts w:cs="Arial"/>
                <w:lang w:val="en-GB"/>
              </w:rPr>
            </w:pPr>
          </w:p>
          <w:p w14:paraId="16520913" w14:textId="77777777" w:rsidR="00D50952" w:rsidRPr="00485454" w:rsidRDefault="00D50952" w:rsidP="0048610B">
            <w:pPr>
              <w:jc w:val="center"/>
              <w:rPr>
                <w:rFonts w:cs="Arial"/>
                <w:b/>
                <w:bCs/>
                <w:lang w:val="en-GB"/>
              </w:rPr>
            </w:pPr>
            <w:r w:rsidRPr="00485454">
              <w:rPr>
                <w:rFonts w:cs="Arial"/>
                <w:b/>
                <w:bCs/>
                <w:lang w:val="en-GB"/>
              </w:rPr>
              <w:t>Gegharkunik</w:t>
            </w:r>
          </w:p>
        </w:tc>
        <w:tc>
          <w:tcPr>
            <w:tcW w:w="4509" w:type="dxa"/>
          </w:tcPr>
          <w:p w14:paraId="6432D63F" w14:textId="77777777" w:rsidR="00D50952" w:rsidRPr="00485454" w:rsidRDefault="00D50952" w:rsidP="0048610B">
            <w:pPr>
              <w:rPr>
                <w:rFonts w:cs="Arial"/>
                <w:lang w:val="en-GB"/>
              </w:rPr>
            </w:pPr>
            <w:r w:rsidRPr="00485454">
              <w:rPr>
                <w:rFonts w:cs="Arial"/>
                <w:color w:val="000000"/>
                <w:shd w:val="clear" w:color="auto" w:fill="FFFFFF"/>
                <w:lang w:val="en-GB"/>
              </w:rPr>
              <w:t xml:space="preserve">Vardenis </w:t>
            </w:r>
          </w:p>
        </w:tc>
      </w:tr>
      <w:tr w:rsidR="00D50952" w:rsidRPr="00485454" w14:paraId="0385F4E1" w14:textId="77777777" w:rsidTr="6D13DA79">
        <w:tc>
          <w:tcPr>
            <w:tcW w:w="4508" w:type="dxa"/>
            <w:vMerge/>
          </w:tcPr>
          <w:p w14:paraId="228F71EE" w14:textId="77777777" w:rsidR="00D50952" w:rsidRPr="00485454" w:rsidRDefault="00D50952" w:rsidP="0048610B">
            <w:pPr>
              <w:rPr>
                <w:rFonts w:cs="Arial"/>
                <w:lang w:val="en-GB"/>
              </w:rPr>
            </w:pPr>
          </w:p>
        </w:tc>
        <w:tc>
          <w:tcPr>
            <w:tcW w:w="4509" w:type="dxa"/>
          </w:tcPr>
          <w:p w14:paraId="741277AC" w14:textId="77777777" w:rsidR="00D50952" w:rsidRPr="00485454" w:rsidRDefault="00D50952" w:rsidP="0048610B">
            <w:pPr>
              <w:rPr>
                <w:rFonts w:cs="Arial"/>
                <w:lang w:val="en-GB"/>
              </w:rPr>
            </w:pPr>
            <w:r w:rsidRPr="00485454">
              <w:rPr>
                <w:rFonts w:cs="Arial"/>
                <w:color w:val="000000"/>
                <w:shd w:val="clear" w:color="auto" w:fill="FFFFFF"/>
                <w:lang w:val="en-GB"/>
              </w:rPr>
              <w:t>Tchambarak</w:t>
            </w:r>
          </w:p>
        </w:tc>
      </w:tr>
      <w:tr w:rsidR="00D50952" w:rsidRPr="00485454" w14:paraId="0933315E" w14:textId="77777777" w:rsidTr="6D13DA79">
        <w:tc>
          <w:tcPr>
            <w:tcW w:w="4508" w:type="dxa"/>
            <w:vMerge/>
          </w:tcPr>
          <w:p w14:paraId="451004B9" w14:textId="77777777" w:rsidR="00D50952" w:rsidRPr="00485454" w:rsidRDefault="00D50952" w:rsidP="0048610B">
            <w:pPr>
              <w:rPr>
                <w:rFonts w:cs="Arial"/>
                <w:lang w:val="en-GB"/>
              </w:rPr>
            </w:pPr>
          </w:p>
        </w:tc>
        <w:tc>
          <w:tcPr>
            <w:tcW w:w="4509" w:type="dxa"/>
          </w:tcPr>
          <w:p w14:paraId="129214C3" w14:textId="77777777" w:rsidR="00D50952" w:rsidRPr="00485454" w:rsidRDefault="00D50952" w:rsidP="0048610B">
            <w:pPr>
              <w:rPr>
                <w:rFonts w:cs="Arial"/>
                <w:lang w:val="en-GB"/>
              </w:rPr>
            </w:pPr>
            <w:r w:rsidRPr="00485454">
              <w:rPr>
                <w:rFonts w:cs="Arial"/>
                <w:color w:val="000000"/>
                <w:shd w:val="clear" w:color="auto" w:fill="FFFFFF"/>
                <w:lang w:val="en-GB"/>
              </w:rPr>
              <w:t>Geghamasar</w:t>
            </w:r>
          </w:p>
        </w:tc>
      </w:tr>
      <w:tr w:rsidR="00D50952" w:rsidRPr="00485454" w14:paraId="4EDBD805" w14:textId="77777777" w:rsidTr="6D13DA79">
        <w:tc>
          <w:tcPr>
            <w:tcW w:w="4508" w:type="dxa"/>
            <w:vMerge/>
          </w:tcPr>
          <w:p w14:paraId="0BF9A34A" w14:textId="77777777" w:rsidR="00D50952" w:rsidRPr="00485454" w:rsidRDefault="00D50952" w:rsidP="0048610B">
            <w:pPr>
              <w:rPr>
                <w:rFonts w:cs="Arial"/>
                <w:lang w:val="en-GB"/>
              </w:rPr>
            </w:pPr>
          </w:p>
        </w:tc>
        <w:tc>
          <w:tcPr>
            <w:tcW w:w="4509" w:type="dxa"/>
          </w:tcPr>
          <w:p w14:paraId="02FA13F2" w14:textId="77777777" w:rsidR="00D50952" w:rsidRPr="00485454" w:rsidRDefault="00D50952" w:rsidP="0048610B">
            <w:pPr>
              <w:rPr>
                <w:rFonts w:cs="Arial"/>
                <w:lang w:val="en-GB"/>
              </w:rPr>
            </w:pPr>
            <w:r w:rsidRPr="00485454">
              <w:rPr>
                <w:rFonts w:cs="Arial"/>
                <w:color w:val="000000"/>
                <w:shd w:val="clear" w:color="auto" w:fill="FFFFFF"/>
                <w:lang w:val="en-GB"/>
              </w:rPr>
              <w:t>Shoghakat</w:t>
            </w:r>
          </w:p>
        </w:tc>
      </w:tr>
      <w:tr w:rsidR="00D50952" w:rsidRPr="00485454" w14:paraId="0DBE8A9E" w14:textId="77777777" w:rsidTr="6D13DA79">
        <w:tc>
          <w:tcPr>
            <w:tcW w:w="4508" w:type="dxa"/>
          </w:tcPr>
          <w:p w14:paraId="62FB1EFE" w14:textId="77777777" w:rsidR="00D50952" w:rsidRPr="00485454" w:rsidRDefault="00D50952" w:rsidP="0048610B">
            <w:pPr>
              <w:rPr>
                <w:rFonts w:cs="Arial"/>
                <w:lang w:val="en-GB"/>
              </w:rPr>
            </w:pPr>
          </w:p>
        </w:tc>
        <w:tc>
          <w:tcPr>
            <w:tcW w:w="4509" w:type="dxa"/>
          </w:tcPr>
          <w:p w14:paraId="56E0EBAF" w14:textId="77777777" w:rsidR="00D50952" w:rsidRPr="00485454" w:rsidRDefault="00D50952" w:rsidP="0048610B">
            <w:pPr>
              <w:rPr>
                <w:rFonts w:cs="Arial"/>
                <w:lang w:val="en-GB"/>
              </w:rPr>
            </w:pPr>
          </w:p>
        </w:tc>
      </w:tr>
      <w:tr w:rsidR="00D50952" w:rsidRPr="00485454" w14:paraId="4808196C" w14:textId="77777777" w:rsidTr="6D13DA79">
        <w:tc>
          <w:tcPr>
            <w:tcW w:w="4508" w:type="dxa"/>
            <w:vMerge w:val="restart"/>
          </w:tcPr>
          <w:p w14:paraId="61D89468" w14:textId="77777777" w:rsidR="00D50952" w:rsidRPr="00485454" w:rsidRDefault="00D50952" w:rsidP="0048610B">
            <w:pPr>
              <w:jc w:val="center"/>
              <w:rPr>
                <w:rFonts w:cs="Arial"/>
                <w:b/>
                <w:bCs/>
                <w:color w:val="1D2228"/>
                <w:shd w:val="clear" w:color="auto" w:fill="FFFFFF"/>
                <w:lang w:val="en-GB"/>
              </w:rPr>
            </w:pPr>
          </w:p>
          <w:p w14:paraId="4CC23EC9" w14:textId="77777777" w:rsidR="00D50952" w:rsidRPr="00485454" w:rsidRDefault="00D50952" w:rsidP="0048610B">
            <w:pPr>
              <w:jc w:val="center"/>
              <w:rPr>
                <w:rFonts w:cs="Arial"/>
                <w:b/>
                <w:bCs/>
                <w:lang w:val="en-GB"/>
              </w:rPr>
            </w:pPr>
            <w:r w:rsidRPr="00485454">
              <w:rPr>
                <w:rFonts w:cs="Arial"/>
                <w:b/>
                <w:bCs/>
                <w:color w:val="1D2228"/>
                <w:shd w:val="clear" w:color="auto" w:fill="FFFFFF"/>
                <w:lang w:val="en-GB"/>
              </w:rPr>
              <w:t>Aragatsotn</w:t>
            </w:r>
          </w:p>
        </w:tc>
        <w:tc>
          <w:tcPr>
            <w:tcW w:w="4509" w:type="dxa"/>
          </w:tcPr>
          <w:p w14:paraId="52EF792A" w14:textId="77777777" w:rsidR="00D50952" w:rsidRPr="00485454" w:rsidRDefault="00D50952" w:rsidP="0048610B">
            <w:pPr>
              <w:rPr>
                <w:rFonts w:cs="Arial"/>
                <w:lang w:val="en-GB"/>
              </w:rPr>
            </w:pPr>
            <w:r w:rsidRPr="00485454">
              <w:rPr>
                <w:rFonts w:cs="Arial"/>
                <w:color w:val="000000"/>
                <w:shd w:val="clear" w:color="auto" w:fill="FFFFFF"/>
                <w:lang w:val="en-GB"/>
              </w:rPr>
              <w:t xml:space="preserve">Aparan </w:t>
            </w:r>
          </w:p>
        </w:tc>
      </w:tr>
      <w:tr w:rsidR="00D50952" w:rsidRPr="00485454" w14:paraId="23A57444" w14:textId="77777777" w:rsidTr="6D13DA79">
        <w:tc>
          <w:tcPr>
            <w:tcW w:w="4508" w:type="dxa"/>
            <w:vMerge/>
          </w:tcPr>
          <w:p w14:paraId="79C423EA" w14:textId="77777777" w:rsidR="00D50952" w:rsidRPr="00485454" w:rsidRDefault="00D50952" w:rsidP="0048610B">
            <w:pPr>
              <w:jc w:val="center"/>
              <w:rPr>
                <w:rFonts w:cs="Arial"/>
                <w:lang w:val="en-GB"/>
              </w:rPr>
            </w:pPr>
          </w:p>
        </w:tc>
        <w:tc>
          <w:tcPr>
            <w:tcW w:w="4509" w:type="dxa"/>
          </w:tcPr>
          <w:p w14:paraId="74A2C67C" w14:textId="77777777" w:rsidR="00D50952" w:rsidRPr="00485454" w:rsidRDefault="00D50952" w:rsidP="0048610B">
            <w:pPr>
              <w:rPr>
                <w:rFonts w:cs="Arial"/>
                <w:lang w:val="en-GB"/>
              </w:rPr>
            </w:pPr>
            <w:r w:rsidRPr="00485454">
              <w:rPr>
                <w:rFonts w:cs="Arial"/>
                <w:color w:val="000000"/>
                <w:shd w:val="clear" w:color="auto" w:fill="FFFFFF"/>
                <w:lang w:val="en-GB"/>
              </w:rPr>
              <w:t>Alagyaz</w:t>
            </w:r>
          </w:p>
        </w:tc>
      </w:tr>
      <w:tr w:rsidR="00D50952" w:rsidRPr="00485454" w14:paraId="5F5A8D30" w14:textId="77777777" w:rsidTr="6D13DA79">
        <w:tc>
          <w:tcPr>
            <w:tcW w:w="4508" w:type="dxa"/>
            <w:vMerge/>
          </w:tcPr>
          <w:p w14:paraId="1D6A19DD" w14:textId="77777777" w:rsidR="00D50952" w:rsidRPr="00485454" w:rsidRDefault="00D50952" w:rsidP="0048610B">
            <w:pPr>
              <w:rPr>
                <w:rFonts w:cs="Arial"/>
                <w:lang w:val="en-GB"/>
              </w:rPr>
            </w:pPr>
          </w:p>
        </w:tc>
        <w:tc>
          <w:tcPr>
            <w:tcW w:w="4509" w:type="dxa"/>
          </w:tcPr>
          <w:p w14:paraId="0A6EFFDE" w14:textId="77777777" w:rsidR="00D50952" w:rsidRPr="00485454" w:rsidRDefault="00D50952" w:rsidP="0048610B">
            <w:pPr>
              <w:rPr>
                <w:rFonts w:cs="Arial"/>
                <w:lang w:val="en-GB"/>
              </w:rPr>
            </w:pPr>
            <w:r w:rsidRPr="00485454">
              <w:rPr>
                <w:rFonts w:cs="Arial"/>
                <w:color w:val="000000"/>
                <w:shd w:val="clear" w:color="auto" w:fill="FFFFFF"/>
                <w:lang w:val="en-GB"/>
              </w:rPr>
              <w:t>Aragatsavan</w:t>
            </w:r>
          </w:p>
        </w:tc>
      </w:tr>
      <w:tr w:rsidR="00D50952" w:rsidRPr="00485454" w14:paraId="7210FD82" w14:textId="77777777" w:rsidTr="6D13DA79">
        <w:tc>
          <w:tcPr>
            <w:tcW w:w="4508" w:type="dxa"/>
            <w:vMerge/>
          </w:tcPr>
          <w:p w14:paraId="2FE7445A" w14:textId="77777777" w:rsidR="00D50952" w:rsidRPr="00485454" w:rsidRDefault="00D50952" w:rsidP="0048610B">
            <w:pPr>
              <w:rPr>
                <w:rFonts w:cs="Arial"/>
                <w:lang w:val="en-GB"/>
              </w:rPr>
            </w:pPr>
          </w:p>
        </w:tc>
        <w:tc>
          <w:tcPr>
            <w:tcW w:w="4509" w:type="dxa"/>
          </w:tcPr>
          <w:p w14:paraId="56360956" w14:textId="77777777" w:rsidR="00D50952" w:rsidRPr="00485454" w:rsidRDefault="00D50952" w:rsidP="0048610B">
            <w:pPr>
              <w:rPr>
                <w:rFonts w:cs="Arial"/>
                <w:lang w:val="en-GB"/>
              </w:rPr>
            </w:pPr>
            <w:r w:rsidRPr="00485454">
              <w:rPr>
                <w:rFonts w:cs="Arial"/>
                <w:color w:val="000000"/>
                <w:shd w:val="clear" w:color="auto" w:fill="FFFFFF"/>
                <w:lang w:val="en-GB"/>
              </w:rPr>
              <w:t>Tsaghkahovit</w:t>
            </w:r>
          </w:p>
        </w:tc>
      </w:tr>
      <w:tr w:rsidR="00D50952" w:rsidRPr="00485454" w14:paraId="44457183" w14:textId="77777777" w:rsidTr="6D13DA79">
        <w:tc>
          <w:tcPr>
            <w:tcW w:w="4508" w:type="dxa"/>
          </w:tcPr>
          <w:p w14:paraId="10DA5931" w14:textId="77777777" w:rsidR="00D50952" w:rsidRPr="00485454" w:rsidRDefault="00D50952" w:rsidP="0048610B">
            <w:pPr>
              <w:rPr>
                <w:rFonts w:cs="Arial"/>
                <w:lang w:val="en-GB"/>
              </w:rPr>
            </w:pPr>
          </w:p>
        </w:tc>
        <w:tc>
          <w:tcPr>
            <w:tcW w:w="4509" w:type="dxa"/>
          </w:tcPr>
          <w:p w14:paraId="239C751C" w14:textId="77777777" w:rsidR="00D50952" w:rsidRPr="00485454" w:rsidRDefault="00D50952" w:rsidP="0048610B">
            <w:pPr>
              <w:rPr>
                <w:rFonts w:cs="Arial"/>
                <w:lang w:val="en-GB"/>
              </w:rPr>
            </w:pPr>
          </w:p>
        </w:tc>
      </w:tr>
      <w:tr w:rsidR="00D50952" w:rsidRPr="00485454" w14:paraId="4223E2CD" w14:textId="77777777" w:rsidTr="6D13DA79">
        <w:tc>
          <w:tcPr>
            <w:tcW w:w="4508" w:type="dxa"/>
            <w:vMerge w:val="restart"/>
          </w:tcPr>
          <w:p w14:paraId="37208D3A" w14:textId="77777777" w:rsidR="00D50952" w:rsidRPr="00485454" w:rsidRDefault="00D50952" w:rsidP="0048610B">
            <w:pPr>
              <w:jc w:val="center"/>
              <w:rPr>
                <w:rFonts w:cs="Arial"/>
                <w:b/>
                <w:bCs/>
                <w:color w:val="1D2228"/>
                <w:shd w:val="clear" w:color="auto" w:fill="FFFFFF"/>
                <w:lang w:val="en-GB"/>
              </w:rPr>
            </w:pPr>
          </w:p>
          <w:p w14:paraId="76D6AD5A" w14:textId="77777777" w:rsidR="00D50952" w:rsidRPr="00485454" w:rsidRDefault="00D50952" w:rsidP="0048610B">
            <w:pPr>
              <w:jc w:val="center"/>
              <w:rPr>
                <w:rFonts w:cs="Arial"/>
                <w:b/>
                <w:bCs/>
                <w:lang w:val="en-GB"/>
              </w:rPr>
            </w:pPr>
            <w:r w:rsidRPr="00485454">
              <w:rPr>
                <w:rFonts w:cs="Arial"/>
                <w:b/>
                <w:bCs/>
                <w:color w:val="1D2228"/>
                <w:shd w:val="clear" w:color="auto" w:fill="FFFFFF"/>
                <w:lang w:val="en-GB"/>
              </w:rPr>
              <w:t>Vayots Dzor</w:t>
            </w:r>
          </w:p>
        </w:tc>
        <w:tc>
          <w:tcPr>
            <w:tcW w:w="4509" w:type="dxa"/>
          </w:tcPr>
          <w:p w14:paraId="24C55A3F" w14:textId="77777777" w:rsidR="00D50952" w:rsidRPr="00485454" w:rsidRDefault="00D50952" w:rsidP="0048610B">
            <w:pPr>
              <w:rPr>
                <w:rFonts w:cs="Arial"/>
                <w:lang w:val="en-GB"/>
              </w:rPr>
            </w:pPr>
            <w:r w:rsidRPr="00485454">
              <w:rPr>
                <w:rFonts w:cs="Arial"/>
                <w:color w:val="1D2228"/>
                <w:shd w:val="clear" w:color="auto" w:fill="FFFFFF"/>
                <w:lang w:val="en-GB"/>
              </w:rPr>
              <w:t xml:space="preserve">Gladzor </w:t>
            </w:r>
          </w:p>
        </w:tc>
      </w:tr>
      <w:tr w:rsidR="00D50952" w:rsidRPr="00485454" w14:paraId="4E7C1526" w14:textId="77777777" w:rsidTr="6D13DA79">
        <w:tc>
          <w:tcPr>
            <w:tcW w:w="4508" w:type="dxa"/>
            <w:vMerge/>
          </w:tcPr>
          <w:p w14:paraId="75C0A9FC" w14:textId="77777777" w:rsidR="00D50952" w:rsidRPr="00485454" w:rsidRDefault="00D50952" w:rsidP="0048610B">
            <w:pPr>
              <w:rPr>
                <w:rFonts w:cs="Arial"/>
                <w:lang w:val="en-GB"/>
              </w:rPr>
            </w:pPr>
          </w:p>
        </w:tc>
        <w:tc>
          <w:tcPr>
            <w:tcW w:w="4509" w:type="dxa"/>
          </w:tcPr>
          <w:p w14:paraId="7B462EBD" w14:textId="77777777" w:rsidR="00D50952" w:rsidRPr="00485454" w:rsidRDefault="00D50952" w:rsidP="0048610B">
            <w:pPr>
              <w:rPr>
                <w:rFonts w:cs="Arial"/>
                <w:lang w:val="en-GB"/>
              </w:rPr>
            </w:pPr>
            <w:r w:rsidRPr="00485454">
              <w:rPr>
                <w:rFonts w:cs="Arial"/>
                <w:color w:val="1D2228"/>
                <w:shd w:val="clear" w:color="auto" w:fill="FFFFFF"/>
                <w:lang w:val="en-GB"/>
              </w:rPr>
              <w:t>Areni</w:t>
            </w:r>
          </w:p>
        </w:tc>
      </w:tr>
      <w:tr w:rsidR="00D50952" w:rsidRPr="00485454" w14:paraId="7AD6DB0F" w14:textId="77777777" w:rsidTr="6D13DA79">
        <w:tc>
          <w:tcPr>
            <w:tcW w:w="4508" w:type="dxa"/>
            <w:vMerge/>
          </w:tcPr>
          <w:p w14:paraId="094442D3" w14:textId="77777777" w:rsidR="00D50952" w:rsidRPr="00485454" w:rsidRDefault="00D50952" w:rsidP="0048610B">
            <w:pPr>
              <w:rPr>
                <w:rFonts w:cs="Arial"/>
                <w:lang w:val="en-GB"/>
              </w:rPr>
            </w:pPr>
          </w:p>
        </w:tc>
        <w:tc>
          <w:tcPr>
            <w:tcW w:w="4509" w:type="dxa"/>
          </w:tcPr>
          <w:p w14:paraId="1AC46156" w14:textId="77777777" w:rsidR="00D50952" w:rsidRPr="00485454" w:rsidRDefault="00D50952" w:rsidP="0048610B">
            <w:pPr>
              <w:rPr>
                <w:rFonts w:cs="Arial"/>
                <w:lang w:val="en-GB"/>
              </w:rPr>
            </w:pPr>
            <w:r w:rsidRPr="00485454">
              <w:rPr>
                <w:rFonts w:cs="Arial"/>
                <w:color w:val="1D2228"/>
                <w:shd w:val="clear" w:color="auto" w:fill="FFFFFF"/>
                <w:lang w:val="en-GB"/>
              </w:rPr>
              <w:t>Yeghegis</w:t>
            </w:r>
          </w:p>
        </w:tc>
      </w:tr>
      <w:tr w:rsidR="00D50952" w:rsidRPr="00485454" w14:paraId="75A5D210" w14:textId="77777777" w:rsidTr="6D13DA79">
        <w:tc>
          <w:tcPr>
            <w:tcW w:w="4508" w:type="dxa"/>
          </w:tcPr>
          <w:p w14:paraId="1F9EBED8" w14:textId="77777777" w:rsidR="00D50952" w:rsidRPr="00485454" w:rsidRDefault="00D50952" w:rsidP="0048610B">
            <w:pPr>
              <w:rPr>
                <w:rFonts w:cs="Arial"/>
                <w:lang w:val="en-GB"/>
              </w:rPr>
            </w:pPr>
          </w:p>
        </w:tc>
        <w:tc>
          <w:tcPr>
            <w:tcW w:w="4509" w:type="dxa"/>
          </w:tcPr>
          <w:p w14:paraId="280C29A1" w14:textId="77777777" w:rsidR="00D50952" w:rsidRPr="00485454" w:rsidRDefault="00D50952" w:rsidP="0048610B">
            <w:pPr>
              <w:rPr>
                <w:rFonts w:cs="Arial"/>
                <w:lang w:val="en-GB"/>
              </w:rPr>
            </w:pPr>
          </w:p>
        </w:tc>
      </w:tr>
      <w:tr w:rsidR="0068628D" w:rsidRPr="00485454" w14:paraId="735FA44B" w14:textId="77777777" w:rsidTr="6D13DA79">
        <w:tc>
          <w:tcPr>
            <w:tcW w:w="4508" w:type="dxa"/>
            <w:vMerge w:val="restart"/>
            <w:vAlign w:val="center"/>
          </w:tcPr>
          <w:p w14:paraId="7578A213" w14:textId="77777777" w:rsidR="0068628D" w:rsidRPr="00485454" w:rsidRDefault="0068628D" w:rsidP="0068628D">
            <w:pPr>
              <w:jc w:val="center"/>
              <w:rPr>
                <w:rFonts w:cs="Arial"/>
                <w:lang w:val="en-GB"/>
              </w:rPr>
            </w:pPr>
            <w:r w:rsidRPr="00485454">
              <w:rPr>
                <w:rFonts w:cs="Arial"/>
                <w:b/>
                <w:bCs/>
                <w:color w:val="1D2228"/>
                <w:shd w:val="clear" w:color="auto" w:fill="FFFFFF"/>
                <w:lang w:val="en-GB"/>
              </w:rPr>
              <w:t>Lori</w:t>
            </w:r>
          </w:p>
        </w:tc>
        <w:tc>
          <w:tcPr>
            <w:tcW w:w="4509" w:type="dxa"/>
          </w:tcPr>
          <w:p w14:paraId="2FEEB341" w14:textId="77777777" w:rsidR="0068628D" w:rsidRPr="00485454" w:rsidRDefault="0068628D" w:rsidP="0048610B">
            <w:pPr>
              <w:rPr>
                <w:rFonts w:cs="Arial"/>
                <w:lang w:val="en-GB"/>
              </w:rPr>
            </w:pPr>
            <w:r w:rsidRPr="00485454">
              <w:rPr>
                <w:rFonts w:cs="Arial"/>
                <w:color w:val="1D2228"/>
                <w:shd w:val="clear" w:color="auto" w:fill="FFFFFF"/>
                <w:lang w:val="en-GB"/>
              </w:rPr>
              <w:t>Stepanavan</w:t>
            </w:r>
          </w:p>
        </w:tc>
      </w:tr>
      <w:tr w:rsidR="0068628D" w:rsidRPr="00485454" w14:paraId="55B263AE" w14:textId="77777777" w:rsidTr="6D13DA79">
        <w:tc>
          <w:tcPr>
            <w:tcW w:w="4508" w:type="dxa"/>
            <w:vMerge/>
          </w:tcPr>
          <w:p w14:paraId="372ECFBA" w14:textId="77777777" w:rsidR="0068628D" w:rsidRPr="00485454" w:rsidRDefault="0068628D" w:rsidP="0048610B">
            <w:pPr>
              <w:rPr>
                <w:rFonts w:cs="Arial"/>
                <w:lang w:val="en-GB"/>
              </w:rPr>
            </w:pPr>
          </w:p>
        </w:tc>
        <w:tc>
          <w:tcPr>
            <w:tcW w:w="4509" w:type="dxa"/>
          </w:tcPr>
          <w:p w14:paraId="19E3DD6D" w14:textId="77777777" w:rsidR="0068628D" w:rsidRPr="00485454" w:rsidRDefault="0068628D" w:rsidP="0048610B">
            <w:pPr>
              <w:rPr>
                <w:rFonts w:cs="Arial"/>
                <w:lang w:val="en-GB"/>
              </w:rPr>
            </w:pPr>
            <w:r w:rsidRPr="00485454">
              <w:rPr>
                <w:rFonts w:cs="Arial"/>
                <w:color w:val="1D2228"/>
                <w:shd w:val="clear" w:color="auto" w:fill="FFFFFF"/>
                <w:lang w:val="en-GB"/>
              </w:rPr>
              <w:t>Lori Berd</w:t>
            </w:r>
          </w:p>
        </w:tc>
      </w:tr>
      <w:tr w:rsidR="0068628D" w:rsidRPr="00485454" w14:paraId="637E4D9F" w14:textId="77777777" w:rsidTr="6D13DA79">
        <w:tc>
          <w:tcPr>
            <w:tcW w:w="4508" w:type="dxa"/>
            <w:vMerge/>
          </w:tcPr>
          <w:p w14:paraId="37A6F62F" w14:textId="77777777" w:rsidR="0068628D" w:rsidRPr="00485454" w:rsidRDefault="0068628D" w:rsidP="0048610B">
            <w:pPr>
              <w:rPr>
                <w:rFonts w:cs="Arial"/>
                <w:lang w:val="en-GB"/>
              </w:rPr>
            </w:pPr>
          </w:p>
        </w:tc>
        <w:tc>
          <w:tcPr>
            <w:tcW w:w="4509" w:type="dxa"/>
          </w:tcPr>
          <w:p w14:paraId="1B3F391A" w14:textId="77777777" w:rsidR="0068628D" w:rsidRPr="00485454" w:rsidRDefault="0068628D" w:rsidP="0048610B">
            <w:pPr>
              <w:rPr>
                <w:rFonts w:cs="Arial"/>
                <w:lang w:val="en-GB"/>
              </w:rPr>
            </w:pPr>
            <w:r w:rsidRPr="00485454">
              <w:rPr>
                <w:rFonts w:cs="Arial"/>
                <w:color w:val="1D2228"/>
                <w:shd w:val="clear" w:color="auto" w:fill="FFFFFF"/>
                <w:lang w:val="en-GB"/>
              </w:rPr>
              <w:t>Gyulakarak</w:t>
            </w:r>
          </w:p>
        </w:tc>
      </w:tr>
      <w:tr w:rsidR="0068628D" w:rsidRPr="00485454" w14:paraId="30D7E07A" w14:textId="77777777" w:rsidTr="6D13DA79">
        <w:tc>
          <w:tcPr>
            <w:tcW w:w="4508" w:type="dxa"/>
            <w:vMerge/>
          </w:tcPr>
          <w:p w14:paraId="7F74A8EC" w14:textId="77777777" w:rsidR="0068628D" w:rsidRPr="00485454" w:rsidRDefault="0068628D" w:rsidP="0048610B">
            <w:pPr>
              <w:rPr>
                <w:rFonts w:cs="Arial"/>
                <w:lang w:val="en-GB"/>
              </w:rPr>
            </w:pPr>
          </w:p>
        </w:tc>
        <w:tc>
          <w:tcPr>
            <w:tcW w:w="4509" w:type="dxa"/>
          </w:tcPr>
          <w:p w14:paraId="39814F9C" w14:textId="77777777" w:rsidR="0068628D" w:rsidRPr="00485454" w:rsidRDefault="0068628D" w:rsidP="0048610B">
            <w:pPr>
              <w:rPr>
                <w:rFonts w:cs="Arial"/>
                <w:lang w:val="en-GB"/>
              </w:rPr>
            </w:pPr>
            <w:r w:rsidRPr="00485454">
              <w:rPr>
                <w:rFonts w:cs="Arial"/>
                <w:color w:val="1D2228"/>
                <w:shd w:val="clear" w:color="auto" w:fill="FFFFFF"/>
                <w:lang w:val="en-GB"/>
              </w:rPr>
              <w:t>Tashir</w:t>
            </w:r>
          </w:p>
        </w:tc>
      </w:tr>
      <w:tr w:rsidR="0068628D" w:rsidRPr="00485454" w14:paraId="250DB3E1" w14:textId="77777777" w:rsidTr="6D13DA79">
        <w:tc>
          <w:tcPr>
            <w:tcW w:w="4508" w:type="dxa"/>
            <w:vMerge/>
          </w:tcPr>
          <w:p w14:paraId="64CB62C3" w14:textId="77777777" w:rsidR="0068628D" w:rsidRPr="00485454" w:rsidRDefault="0068628D" w:rsidP="0048610B">
            <w:pPr>
              <w:rPr>
                <w:rFonts w:cs="Arial"/>
                <w:lang w:val="en-GB"/>
              </w:rPr>
            </w:pPr>
          </w:p>
        </w:tc>
        <w:tc>
          <w:tcPr>
            <w:tcW w:w="4509" w:type="dxa"/>
          </w:tcPr>
          <w:p w14:paraId="6998C6C0" w14:textId="77777777" w:rsidR="0068628D" w:rsidRPr="00485454" w:rsidRDefault="0068628D" w:rsidP="0048610B">
            <w:pPr>
              <w:rPr>
                <w:rFonts w:cs="Arial"/>
                <w:lang w:val="en-GB"/>
              </w:rPr>
            </w:pPr>
            <w:r w:rsidRPr="00485454">
              <w:rPr>
                <w:rFonts w:cs="Arial"/>
                <w:color w:val="1D2228"/>
                <w:shd w:val="clear" w:color="auto" w:fill="FFFFFF"/>
                <w:lang w:val="en-GB"/>
              </w:rPr>
              <w:t>Metsavan</w:t>
            </w:r>
          </w:p>
        </w:tc>
      </w:tr>
      <w:tr w:rsidR="0068628D" w:rsidRPr="00485454" w14:paraId="02D80F2B" w14:textId="77777777" w:rsidTr="6D13DA79">
        <w:tc>
          <w:tcPr>
            <w:tcW w:w="4508" w:type="dxa"/>
            <w:vMerge/>
          </w:tcPr>
          <w:p w14:paraId="19BA8972" w14:textId="77777777" w:rsidR="0068628D" w:rsidRPr="00485454" w:rsidRDefault="0068628D" w:rsidP="0048610B">
            <w:pPr>
              <w:rPr>
                <w:rFonts w:cs="Arial"/>
                <w:lang w:val="en-GB"/>
              </w:rPr>
            </w:pPr>
          </w:p>
        </w:tc>
        <w:tc>
          <w:tcPr>
            <w:tcW w:w="4509" w:type="dxa"/>
          </w:tcPr>
          <w:p w14:paraId="24379190" w14:textId="77777777" w:rsidR="0068628D" w:rsidRPr="00485454" w:rsidRDefault="0068628D" w:rsidP="0048610B">
            <w:pPr>
              <w:rPr>
                <w:rFonts w:cs="Arial"/>
                <w:lang w:val="en-GB"/>
              </w:rPr>
            </w:pPr>
            <w:r w:rsidRPr="00485454">
              <w:rPr>
                <w:rFonts w:cs="Arial"/>
                <w:color w:val="1D2228"/>
                <w:shd w:val="clear" w:color="auto" w:fill="FFFFFF"/>
                <w:lang w:val="en-GB"/>
              </w:rPr>
              <w:t>Sarchapet</w:t>
            </w:r>
          </w:p>
        </w:tc>
      </w:tr>
      <w:tr w:rsidR="0068628D" w:rsidRPr="00485454" w14:paraId="5F0F31EC" w14:textId="77777777" w:rsidTr="6D13DA79">
        <w:tc>
          <w:tcPr>
            <w:tcW w:w="4508" w:type="dxa"/>
            <w:vMerge/>
          </w:tcPr>
          <w:p w14:paraId="35CA8D88" w14:textId="77777777" w:rsidR="0068628D" w:rsidRPr="00485454" w:rsidRDefault="0068628D" w:rsidP="0048610B">
            <w:pPr>
              <w:rPr>
                <w:rFonts w:cs="Arial"/>
                <w:lang w:val="en-GB"/>
              </w:rPr>
            </w:pPr>
          </w:p>
        </w:tc>
        <w:tc>
          <w:tcPr>
            <w:tcW w:w="4509" w:type="dxa"/>
          </w:tcPr>
          <w:p w14:paraId="36A47AFE" w14:textId="77777777" w:rsidR="0068628D" w:rsidRPr="00485454" w:rsidRDefault="0068628D" w:rsidP="0048610B">
            <w:pPr>
              <w:rPr>
                <w:rFonts w:cs="Arial"/>
                <w:color w:val="1D2228"/>
                <w:shd w:val="clear" w:color="auto" w:fill="FFFFFF"/>
                <w:lang w:val="en-GB"/>
              </w:rPr>
            </w:pPr>
            <w:r w:rsidRPr="00485454">
              <w:rPr>
                <w:rFonts w:cs="Arial"/>
                <w:color w:val="1D2228"/>
                <w:shd w:val="clear" w:color="auto" w:fill="FFFFFF"/>
                <w:lang w:val="en-GB"/>
              </w:rPr>
              <w:t>Alaverdi</w:t>
            </w:r>
          </w:p>
        </w:tc>
      </w:tr>
      <w:tr w:rsidR="0068628D" w:rsidRPr="00485454" w14:paraId="3FCC7497" w14:textId="77777777" w:rsidTr="6D13DA79">
        <w:tc>
          <w:tcPr>
            <w:tcW w:w="4508" w:type="dxa"/>
            <w:vMerge/>
          </w:tcPr>
          <w:p w14:paraId="64FB07CB" w14:textId="77777777" w:rsidR="0068628D" w:rsidRPr="00485454" w:rsidRDefault="0068628D" w:rsidP="0048610B">
            <w:pPr>
              <w:rPr>
                <w:rFonts w:cs="Arial"/>
                <w:lang w:val="en-GB"/>
              </w:rPr>
            </w:pPr>
          </w:p>
        </w:tc>
        <w:tc>
          <w:tcPr>
            <w:tcW w:w="4509" w:type="dxa"/>
          </w:tcPr>
          <w:p w14:paraId="0D66E784" w14:textId="77777777" w:rsidR="0068628D" w:rsidRPr="00485454" w:rsidRDefault="0068628D" w:rsidP="0048610B">
            <w:pPr>
              <w:rPr>
                <w:rFonts w:cs="Arial"/>
                <w:color w:val="1D2228"/>
                <w:shd w:val="clear" w:color="auto" w:fill="FFFFFF"/>
                <w:lang w:val="en-GB"/>
              </w:rPr>
            </w:pPr>
            <w:r w:rsidRPr="00485454">
              <w:rPr>
                <w:rFonts w:cs="Arial"/>
                <w:color w:val="1D2228"/>
                <w:shd w:val="clear" w:color="auto" w:fill="FFFFFF"/>
                <w:lang w:val="en-GB"/>
              </w:rPr>
              <w:t>Odzun</w:t>
            </w:r>
          </w:p>
        </w:tc>
      </w:tr>
      <w:tr w:rsidR="0068628D" w:rsidRPr="00485454" w14:paraId="49326212" w14:textId="77777777" w:rsidTr="6D13DA79">
        <w:tc>
          <w:tcPr>
            <w:tcW w:w="4508" w:type="dxa"/>
            <w:vMerge/>
          </w:tcPr>
          <w:p w14:paraId="21A1A331" w14:textId="77777777" w:rsidR="0068628D" w:rsidRPr="00485454" w:rsidRDefault="0068628D" w:rsidP="0048610B">
            <w:pPr>
              <w:rPr>
                <w:rFonts w:cs="Arial"/>
                <w:lang w:val="en-GB"/>
              </w:rPr>
            </w:pPr>
          </w:p>
        </w:tc>
        <w:tc>
          <w:tcPr>
            <w:tcW w:w="4509" w:type="dxa"/>
          </w:tcPr>
          <w:p w14:paraId="50FE5C93" w14:textId="77777777" w:rsidR="0068628D" w:rsidRPr="00485454" w:rsidRDefault="0068628D" w:rsidP="0048610B">
            <w:pPr>
              <w:rPr>
                <w:rFonts w:cs="Arial"/>
                <w:color w:val="1D2228"/>
                <w:shd w:val="clear" w:color="auto" w:fill="FFFFFF"/>
                <w:lang w:val="en-GB"/>
              </w:rPr>
            </w:pPr>
            <w:r w:rsidRPr="00485454">
              <w:rPr>
                <w:rFonts w:cs="Arial"/>
                <w:color w:val="1D2228"/>
                <w:shd w:val="clear" w:color="auto" w:fill="FFFFFF"/>
                <w:lang w:val="en-GB"/>
              </w:rPr>
              <w:t>Akhtala</w:t>
            </w:r>
          </w:p>
        </w:tc>
      </w:tr>
      <w:tr w:rsidR="0068628D" w:rsidRPr="00485454" w14:paraId="377A462E" w14:textId="77777777" w:rsidTr="6D13DA79">
        <w:tc>
          <w:tcPr>
            <w:tcW w:w="4508" w:type="dxa"/>
            <w:vMerge/>
          </w:tcPr>
          <w:p w14:paraId="2CE9313F" w14:textId="77777777" w:rsidR="0068628D" w:rsidRPr="00485454" w:rsidRDefault="0068628D" w:rsidP="0048610B">
            <w:pPr>
              <w:rPr>
                <w:rFonts w:cs="Arial"/>
                <w:lang w:val="en-GB"/>
              </w:rPr>
            </w:pPr>
          </w:p>
        </w:tc>
        <w:tc>
          <w:tcPr>
            <w:tcW w:w="4509" w:type="dxa"/>
          </w:tcPr>
          <w:p w14:paraId="0912F629" w14:textId="77777777" w:rsidR="0068628D" w:rsidRPr="00485454" w:rsidRDefault="0068628D" w:rsidP="0048610B">
            <w:pPr>
              <w:rPr>
                <w:rFonts w:cs="Arial"/>
                <w:color w:val="1D2228"/>
                <w:shd w:val="clear" w:color="auto" w:fill="FFFFFF"/>
                <w:lang w:val="en-GB"/>
              </w:rPr>
            </w:pPr>
            <w:r w:rsidRPr="00485454">
              <w:rPr>
                <w:rFonts w:cs="Arial"/>
                <w:color w:val="1D2228"/>
                <w:shd w:val="clear" w:color="auto" w:fill="FFFFFF"/>
                <w:lang w:val="en-GB"/>
              </w:rPr>
              <w:t>Shnogh</w:t>
            </w:r>
          </w:p>
        </w:tc>
      </w:tr>
      <w:tr w:rsidR="00D50952" w:rsidRPr="00485454" w14:paraId="623D9E3D" w14:textId="77777777" w:rsidTr="6D13DA79">
        <w:tc>
          <w:tcPr>
            <w:tcW w:w="4508" w:type="dxa"/>
          </w:tcPr>
          <w:p w14:paraId="68E330E5" w14:textId="77777777" w:rsidR="00D50952" w:rsidRPr="00485454" w:rsidRDefault="00D50952" w:rsidP="0048610B">
            <w:pPr>
              <w:rPr>
                <w:rFonts w:cs="Arial"/>
                <w:lang w:val="en-GB"/>
              </w:rPr>
            </w:pPr>
          </w:p>
        </w:tc>
        <w:tc>
          <w:tcPr>
            <w:tcW w:w="4509" w:type="dxa"/>
          </w:tcPr>
          <w:p w14:paraId="6ED7A764" w14:textId="77777777" w:rsidR="00D50952" w:rsidRPr="00485454" w:rsidRDefault="00D50952" w:rsidP="0048610B">
            <w:pPr>
              <w:rPr>
                <w:rFonts w:cs="Arial"/>
                <w:color w:val="1D2228"/>
                <w:shd w:val="clear" w:color="auto" w:fill="FFFFFF"/>
                <w:lang w:val="en-GB"/>
              </w:rPr>
            </w:pPr>
          </w:p>
        </w:tc>
      </w:tr>
      <w:tr w:rsidR="00D50952" w:rsidRPr="00485454" w14:paraId="657B8AEA" w14:textId="77777777" w:rsidTr="6D13DA79">
        <w:tc>
          <w:tcPr>
            <w:tcW w:w="4508" w:type="dxa"/>
            <w:vMerge w:val="restart"/>
          </w:tcPr>
          <w:p w14:paraId="70EC6E30" w14:textId="77777777" w:rsidR="00D50952" w:rsidRPr="00485454" w:rsidRDefault="00D50952" w:rsidP="0048610B">
            <w:pPr>
              <w:jc w:val="center"/>
              <w:rPr>
                <w:rFonts w:cs="Arial"/>
                <w:b/>
                <w:bCs/>
                <w:color w:val="1D2228"/>
                <w:shd w:val="clear" w:color="auto" w:fill="FFFFFF"/>
                <w:lang w:val="en-GB"/>
              </w:rPr>
            </w:pPr>
          </w:p>
          <w:p w14:paraId="394C1416" w14:textId="77777777" w:rsidR="00D50952" w:rsidRPr="00485454" w:rsidRDefault="00D50952" w:rsidP="0048610B">
            <w:pPr>
              <w:jc w:val="center"/>
              <w:rPr>
                <w:rFonts w:cs="Arial"/>
                <w:b/>
                <w:bCs/>
                <w:lang w:val="en-GB"/>
              </w:rPr>
            </w:pPr>
            <w:r w:rsidRPr="00485454">
              <w:rPr>
                <w:rFonts w:cs="Arial"/>
                <w:b/>
                <w:bCs/>
                <w:color w:val="1D2228"/>
                <w:shd w:val="clear" w:color="auto" w:fill="FFFFFF"/>
                <w:lang w:val="en-GB"/>
              </w:rPr>
              <w:t>Shirak</w:t>
            </w:r>
          </w:p>
        </w:tc>
        <w:tc>
          <w:tcPr>
            <w:tcW w:w="4509" w:type="dxa"/>
          </w:tcPr>
          <w:p w14:paraId="36AB5228" w14:textId="77777777" w:rsidR="00D50952" w:rsidRPr="00485454" w:rsidRDefault="00D50952" w:rsidP="0048610B">
            <w:pPr>
              <w:rPr>
                <w:rFonts w:cs="Arial"/>
                <w:color w:val="1D2228"/>
                <w:shd w:val="clear" w:color="auto" w:fill="FFFFFF"/>
                <w:lang w:val="en-GB"/>
              </w:rPr>
            </w:pPr>
            <w:r w:rsidRPr="00485454">
              <w:rPr>
                <w:rFonts w:cs="Arial"/>
                <w:color w:val="1D2228"/>
                <w:shd w:val="clear" w:color="auto" w:fill="FFFFFF"/>
                <w:lang w:val="en-GB"/>
              </w:rPr>
              <w:t>Akhuryan</w:t>
            </w:r>
          </w:p>
        </w:tc>
      </w:tr>
      <w:tr w:rsidR="00D50952" w:rsidRPr="00485454" w14:paraId="28708FFE" w14:textId="77777777" w:rsidTr="6D13DA79">
        <w:tc>
          <w:tcPr>
            <w:tcW w:w="4508" w:type="dxa"/>
            <w:vMerge/>
          </w:tcPr>
          <w:p w14:paraId="4F8D30A9" w14:textId="77777777" w:rsidR="00D50952" w:rsidRPr="00485454" w:rsidRDefault="00D50952" w:rsidP="0048610B">
            <w:pPr>
              <w:rPr>
                <w:rFonts w:cs="Arial"/>
                <w:lang w:val="en-GB"/>
              </w:rPr>
            </w:pPr>
          </w:p>
        </w:tc>
        <w:tc>
          <w:tcPr>
            <w:tcW w:w="4509" w:type="dxa"/>
          </w:tcPr>
          <w:p w14:paraId="7690B4AF" w14:textId="77777777" w:rsidR="00D50952" w:rsidRPr="00485454" w:rsidRDefault="00D50952" w:rsidP="0048610B">
            <w:pPr>
              <w:rPr>
                <w:rFonts w:cs="Arial"/>
                <w:color w:val="1D2228"/>
                <w:shd w:val="clear" w:color="auto" w:fill="FFFFFF"/>
                <w:lang w:val="en-GB"/>
              </w:rPr>
            </w:pPr>
            <w:r w:rsidRPr="00485454">
              <w:rPr>
                <w:rFonts w:cs="Arial"/>
                <w:color w:val="1D2228"/>
                <w:shd w:val="clear" w:color="auto" w:fill="FFFFFF"/>
                <w:lang w:val="en-GB"/>
              </w:rPr>
              <w:t>Ani</w:t>
            </w:r>
          </w:p>
        </w:tc>
      </w:tr>
      <w:tr w:rsidR="00D50952" w:rsidRPr="00485454" w14:paraId="0A158D13" w14:textId="77777777" w:rsidTr="6D13DA79">
        <w:tc>
          <w:tcPr>
            <w:tcW w:w="4508" w:type="dxa"/>
            <w:vMerge/>
          </w:tcPr>
          <w:p w14:paraId="0150C4D7" w14:textId="77777777" w:rsidR="00D50952" w:rsidRPr="00485454" w:rsidRDefault="00D50952" w:rsidP="0048610B">
            <w:pPr>
              <w:rPr>
                <w:rFonts w:cs="Arial"/>
                <w:lang w:val="en-GB"/>
              </w:rPr>
            </w:pPr>
          </w:p>
        </w:tc>
        <w:tc>
          <w:tcPr>
            <w:tcW w:w="4509" w:type="dxa"/>
          </w:tcPr>
          <w:p w14:paraId="129C1D1D" w14:textId="77777777" w:rsidR="00D50952" w:rsidRPr="00485454" w:rsidRDefault="00D50952" w:rsidP="0048610B">
            <w:pPr>
              <w:rPr>
                <w:rFonts w:cs="Arial"/>
                <w:color w:val="1D2228"/>
                <w:shd w:val="clear" w:color="auto" w:fill="FFFFFF"/>
                <w:lang w:val="en-GB"/>
              </w:rPr>
            </w:pPr>
            <w:r w:rsidRPr="00485454">
              <w:rPr>
                <w:rFonts w:cs="Arial"/>
                <w:color w:val="1D2228"/>
                <w:shd w:val="clear" w:color="auto" w:fill="FFFFFF"/>
                <w:lang w:val="en-GB"/>
              </w:rPr>
              <w:t>Marmashen</w:t>
            </w:r>
          </w:p>
        </w:tc>
      </w:tr>
      <w:tr w:rsidR="00D50952" w:rsidRPr="00485454" w14:paraId="1C1BC57F" w14:textId="77777777" w:rsidTr="6D13DA79">
        <w:tc>
          <w:tcPr>
            <w:tcW w:w="4508" w:type="dxa"/>
          </w:tcPr>
          <w:p w14:paraId="77D1BEF8" w14:textId="77777777" w:rsidR="00D50952" w:rsidRPr="00485454" w:rsidRDefault="00D50952" w:rsidP="0048610B">
            <w:pPr>
              <w:rPr>
                <w:rFonts w:cs="Arial"/>
                <w:lang w:val="en-GB"/>
              </w:rPr>
            </w:pPr>
          </w:p>
        </w:tc>
        <w:tc>
          <w:tcPr>
            <w:tcW w:w="4509" w:type="dxa"/>
          </w:tcPr>
          <w:p w14:paraId="449826F8" w14:textId="77777777" w:rsidR="00D50952" w:rsidRPr="00485454" w:rsidRDefault="00D50952" w:rsidP="0048610B">
            <w:pPr>
              <w:rPr>
                <w:rFonts w:cs="Arial"/>
                <w:color w:val="1D2228"/>
                <w:shd w:val="clear" w:color="auto" w:fill="FFFFFF"/>
                <w:lang w:val="en-GB"/>
              </w:rPr>
            </w:pPr>
          </w:p>
        </w:tc>
      </w:tr>
      <w:tr w:rsidR="00D50952" w:rsidRPr="00485454" w14:paraId="3E1F6F26" w14:textId="77777777" w:rsidTr="6D13DA79">
        <w:tc>
          <w:tcPr>
            <w:tcW w:w="4508" w:type="dxa"/>
            <w:vMerge w:val="restart"/>
          </w:tcPr>
          <w:p w14:paraId="707464F6" w14:textId="77777777" w:rsidR="00D50952" w:rsidRPr="00485454" w:rsidRDefault="00D50952" w:rsidP="0048610B">
            <w:pPr>
              <w:jc w:val="center"/>
              <w:rPr>
                <w:rFonts w:cs="Arial"/>
                <w:b/>
                <w:bCs/>
                <w:lang w:val="en-GB"/>
              </w:rPr>
            </w:pPr>
          </w:p>
          <w:p w14:paraId="3C522AAD" w14:textId="77777777" w:rsidR="00D50952" w:rsidRPr="00485454" w:rsidRDefault="00D50952" w:rsidP="0048610B">
            <w:pPr>
              <w:jc w:val="center"/>
              <w:rPr>
                <w:rFonts w:cs="Arial"/>
                <w:b/>
                <w:bCs/>
                <w:lang w:val="en-GB"/>
              </w:rPr>
            </w:pPr>
          </w:p>
          <w:p w14:paraId="373C0BAF" w14:textId="77777777" w:rsidR="00D50952" w:rsidRPr="00485454" w:rsidRDefault="00D50952" w:rsidP="0048610B">
            <w:pPr>
              <w:jc w:val="center"/>
              <w:rPr>
                <w:rFonts w:cs="Arial"/>
                <w:b/>
                <w:bCs/>
                <w:lang w:val="en-GB"/>
              </w:rPr>
            </w:pPr>
          </w:p>
          <w:p w14:paraId="15991470" w14:textId="77777777" w:rsidR="00D50952" w:rsidRPr="00485454" w:rsidRDefault="00D50952" w:rsidP="0048610B">
            <w:pPr>
              <w:jc w:val="center"/>
              <w:rPr>
                <w:rFonts w:cs="Arial"/>
                <w:b/>
                <w:bCs/>
                <w:lang w:val="en-GB"/>
              </w:rPr>
            </w:pPr>
            <w:r w:rsidRPr="00485454">
              <w:rPr>
                <w:rFonts w:cs="Arial"/>
                <w:b/>
                <w:bCs/>
                <w:lang w:val="en-GB"/>
              </w:rPr>
              <w:t>Kotayk</w:t>
            </w:r>
          </w:p>
        </w:tc>
        <w:tc>
          <w:tcPr>
            <w:tcW w:w="4509" w:type="dxa"/>
          </w:tcPr>
          <w:p w14:paraId="2CB1DAB0" w14:textId="77777777" w:rsidR="00D50952" w:rsidRPr="00485454" w:rsidRDefault="00D50952" w:rsidP="0048610B">
            <w:pPr>
              <w:rPr>
                <w:rFonts w:cs="Arial"/>
                <w:color w:val="1D2228"/>
                <w:shd w:val="clear" w:color="auto" w:fill="FFFFFF"/>
                <w:lang w:val="en-GB"/>
              </w:rPr>
            </w:pPr>
            <w:r w:rsidRPr="00485454">
              <w:rPr>
                <w:rFonts w:cs="Arial"/>
                <w:color w:val="1D2228"/>
                <w:shd w:val="clear" w:color="auto" w:fill="FFFFFF"/>
                <w:lang w:val="en-GB"/>
              </w:rPr>
              <w:t>Akunk</w:t>
            </w:r>
          </w:p>
        </w:tc>
      </w:tr>
      <w:tr w:rsidR="00D50952" w:rsidRPr="00485454" w14:paraId="566CE79C" w14:textId="77777777" w:rsidTr="6D13DA79">
        <w:tc>
          <w:tcPr>
            <w:tcW w:w="4508" w:type="dxa"/>
            <w:vMerge/>
          </w:tcPr>
          <w:p w14:paraId="56F7DD25" w14:textId="77777777" w:rsidR="00D50952" w:rsidRPr="00485454" w:rsidRDefault="00D50952" w:rsidP="0048610B">
            <w:pPr>
              <w:rPr>
                <w:rFonts w:cs="Arial"/>
                <w:lang w:val="en-GB"/>
              </w:rPr>
            </w:pPr>
          </w:p>
        </w:tc>
        <w:tc>
          <w:tcPr>
            <w:tcW w:w="4509" w:type="dxa"/>
          </w:tcPr>
          <w:p w14:paraId="7DEBB432" w14:textId="77777777" w:rsidR="00D50952" w:rsidRPr="00485454" w:rsidRDefault="00D50952" w:rsidP="0048610B">
            <w:pPr>
              <w:rPr>
                <w:rFonts w:cs="Arial"/>
                <w:color w:val="1D2228"/>
                <w:shd w:val="clear" w:color="auto" w:fill="FFFFFF"/>
                <w:lang w:val="en-GB"/>
              </w:rPr>
            </w:pPr>
            <w:r w:rsidRPr="00485454">
              <w:rPr>
                <w:rFonts w:cs="Arial"/>
                <w:color w:val="000000"/>
                <w:shd w:val="clear" w:color="auto" w:fill="FFFFFF"/>
                <w:lang w:val="en-GB"/>
              </w:rPr>
              <w:t>Byureghavan</w:t>
            </w:r>
          </w:p>
        </w:tc>
      </w:tr>
      <w:tr w:rsidR="00D50952" w:rsidRPr="00485454" w14:paraId="67C56F85" w14:textId="77777777" w:rsidTr="6D13DA79">
        <w:tc>
          <w:tcPr>
            <w:tcW w:w="4508" w:type="dxa"/>
            <w:vMerge/>
          </w:tcPr>
          <w:p w14:paraId="2AFE38D8" w14:textId="77777777" w:rsidR="00D50952" w:rsidRPr="00485454" w:rsidRDefault="00D50952" w:rsidP="0048610B">
            <w:pPr>
              <w:rPr>
                <w:rFonts w:cs="Arial"/>
                <w:lang w:val="en-GB"/>
              </w:rPr>
            </w:pPr>
          </w:p>
        </w:tc>
        <w:tc>
          <w:tcPr>
            <w:tcW w:w="4509" w:type="dxa"/>
          </w:tcPr>
          <w:p w14:paraId="75D782E5" w14:textId="77777777" w:rsidR="00D50952" w:rsidRPr="00485454" w:rsidRDefault="00D50952" w:rsidP="0048610B">
            <w:pPr>
              <w:rPr>
                <w:rFonts w:cs="Arial"/>
                <w:color w:val="1D2228"/>
                <w:shd w:val="clear" w:color="auto" w:fill="FFFFFF"/>
                <w:lang w:val="en-GB"/>
              </w:rPr>
            </w:pPr>
            <w:r w:rsidRPr="00485454">
              <w:rPr>
                <w:rFonts w:cs="Arial"/>
                <w:color w:val="000000"/>
                <w:shd w:val="clear" w:color="auto" w:fill="FFFFFF"/>
                <w:lang w:val="en-GB"/>
              </w:rPr>
              <w:t>Meghradzor</w:t>
            </w:r>
          </w:p>
        </w:tc>
      </w:tr>
      <w:tr w:rsidR="00D50952" w:rsidRPr="00485454" w14:paraId="7590BB08" w14:textId="77777777" w:rsidTr="6D13DA79">
        <w:tc>
          <w:tcPr>
            <w:tcW w:w="4508" w:type="dxa"/>
            <w:vMerge/>
          </w:tcPr>
          <w:p w14:paraId="1C54238D" w14:textId="77777777" w:rsidR="00D50952" w:rsidRPr="00485454" w:rsidRDefault="00D50952" w:rsidP="0048610B">
            <w:pPr>
              <w:rPr>
                <w:rFonts w:cs="Arial"/>
                <w:lang w:val="en-GB"/>
              </w:rPr>
            </w:pPr>
          </w:p>
        </w:tc>
        <w:tc>
          <w:tcPr>
            <w:tcW w:w="4509" w:type="dxa"/>
          </w:tcPr>
          <w:p w14:paraId="62E490B7" w14:textId="77777777" w:rsidR="00D50952" w:rsidRPr="00485454" w:rsidRDefault="00D50952" w:rsidP="0048610B">
            <w:pPr>
              <w:rPr>
                <w:rFonts w:cs="Arial"/>
                <w:color w:val="1D2228"/>
                <w:shd w:val="clear" w:color="auto" w:fill="FFFFFF"/>
                <w:lang w:val="en-GB"/>
              </w:rPr>
            </w:pPr>
            <w:r w:rsidRPr="00485454">
              <w:rPr>
                <w:rFonts w:cs="Arial"/>
                <w:color w:val="000000"/>
                <w:shd w:val="clear" w:color="auto" w:fill="FFFFFF"/>
                <w:lang w:val="en-GB"/>
              </w:rPr>
              <w:t>Charentsavan</w:t>
            </w:r>
          </w:p>
        </w:tc>
      </w:tr>
      <w:tr w:rsidR="00D50952" w:rsidRPr="00485454" w14:paraId="2517BE8F" w14:textId="77777777" w:rsidTr="6D13DA79">
        <w:tc>
          <w:tcPr>
            <w:tcW w:w="4508" w:type="dxa"/>
            <w:vMerge/>
          </w:tcPr>
          <w:p w14:paraId="4C641A17" w14:textId="77777777" w:rsidR="00D50952" w:rsidRPr="00485454" w:rsidRDefault="00D50952" w:rsidP="0048610B">
            <w:pPr>
              <w:rPr>
                <w:rFonts w:cs="Arial"/>
                <w:lang w:val="en-GB"/>
              </w:rPr>
            </w:pPr>
          </w:p>
        </w:tc>
        <w:tc>
          <w:tcPr>
            <w:tcW w:w="4509" w:type="dxa"/>
          </w:tcPr>
          <w:p w14:paraId="3749CBAF" w14:textId="77777777" w:rsidR="00D50952" w:rsidRPr="00485454" w:rsidRDefault="00D50952" w:rsidP="0048610B">
            <w:pPr>
              <w:rPr>
                <w:rFonts w:cs="Arial"/>
                <w:color w:val="1D2228"/>
                <w:shd w:val="clear" w:color="auto" w:fill="FFFFFF"/>
                <w:lang w:val="en-GB"/>
              </w:rPr>
            </w:pPr>
            <w:r w:rsidRPr="00485454">
              <w:rPr>
                <w:rFonts w:cs="Arial"/>
                <w:color w:val="1D2228"/>
                <w:shd w:val="clear" w:color="auto" w:fill="FFFFFF"/>
                <w:lang w:val="en-GB"/>
              </w:rPr>
              <w:t>Jrvezh</w:t>
            </w:r>
          </w:p>
        </w:tc>
      </w:tr>
      <w:tr w:rsidR="00D50952" w:rsidRPr="00485454" w14:paraId="276621F0" w14:textId="77777777" w:rsidTr="6D13DA79">
        <w:tc>
          <w:tcPr>
            <w:tcW w:w="4508" w:type="dxa"/>
            <w:vMerge/>
          </w:tcPr>
          <w:p w14:paraId="1AF64074" w14:textId="77777777" w:rsidR="00D50952" w:rsidRPr="00485454" w:rsidRDefault="00D50952" w:rsidP="0048610B">
            <w:pPr>
              <w:rPr>
                <w:rFonts w:cs="Arial"/>
                <w:lang w:val="en-GB"/>
              </w:rPr>
            </w:pPr>
          </w:p>
        </w:tc>
        <w:tc>
          <w:tcPr>
            <w:tcW w:w="4509" w:type="dxa"/>
          </w:tcPr>
          <w:p w14:paraId="74136712" w14:textId="77777777" w:rsidR="00D50952" w:rsidRPr="00485454" w:rsidRDefault="00D50952" w:rsidP="0048610B">
            <w:pPr>
              <w:rPr>
                <w:rFonts w:cs="Arial"/>
                <w:color w:val="1D2228"/>
                <w:shd w:val="clear" w:color="auto" w:fill="FFFFFF"/>
                <w:lang w:val="en-GB"/>
              </w:rPr>
            </w:pPr>
            <w:r w:rsidRPr="00485454">
              <w:rPr>
                <w:rFonts w:cs="Arial"/>
                <w:color w:val="000000"/>
                <w:shd w:val="clear" w:color="auto" w:fill="FFFFFF"/>
                <w:lang w:val="en-GB"/>
              </w:rPr>
              <w:t>Yeghvard</w:t>
            </w:r>
          </w:p>
        </w:tc>
      </w:tr>
      <w:tr w:rsidR="00D50952" w:rsidRPr="00485454" w14:paraId="74FA358E" w14:textId="77777777" w:rsidTr="6D13DA79">
        <w:tc>
          <w:tcPr>
            <w:tcW w:w="4508" w:type="dxa"/>
          </w:tcPr>
          <w:p w14:paraId="1430CC88" w14:textId="77777777" w:rsidR="00D50952" w:rsidRPr="00485454" w:rsidRDefault="00D50952" w:rsidP="0048610B">
            <w:pPr>
              <w:rPr>
                <w:rFonts w:cs="Arial"/>
                <w:lang w:val="en-GB"/>
              </w:rPr>
            </w:pPr>
          </w:p>
        </w:tc>
        <w:tc>
          <w:tcPr>
            <w:tcW w:w="4509" w:type="dxa"/>
          </w:tcPr>
          <w:p w14:paraId="2F2336CD" w14:textId="77777777" w:rsidR="00D50952" w:rsidRPr="00485454" w:rsidRDefault="00D50952" w:rsidP="0048610B">
            <w:pPr>
              <w:rPr>
                <w:rFonts w:cs="Arial"/>
                <w:color w:val="1D2228"/>
                <w:shd w:val="clear" w:color="auto" w:fill="FFFFFF"/>
                <w:lang w:val="en-GB"/>
              </w:rPr>
            </w:pPr>
          </w:p>
        </w:tc>
      </w:tr>
      <w:tr w:rsidR="00D50952" w:rsidRPr="00485454" w14:paraId="0D9C9B5C" w14:textId="77777777" w:rsidTr="6D13DA79">
        <w:tc>
          <w:tcPr>
            <w:tcW w:w="4508" w:type="dxa"/>
          </w:tcPr>
          <w:p w14:paraId="3DE575AF" w14:textId="77777777" w:rsidR="00D50952" w:rsidRPr="00485454" w:rsidRDefault="00D50952" w:rsidP="0048610B">
            <w:pPr>
              <w:jc w:val="center"/>
              <w:rPr>
                <w:rFonts w:cs="Arial"/>
                <w:b/>
                <w:bCs/>
                <w:lang w:val="en-GB"/>
              </w:rPr>
            </w:pPr>
            <w:r w:rsidRPr="00485454">
              <w:rPr>
                <w:rFonts w:cs="Arial"/>
                <w:b/>
                <w:bCs/>
                <w:color w:val="1D2228"/>
                <w:shd w:val="clear" w:color="auto" w:fill="FFFFFF"/>
                <w:lang w:val="en-GB"/>
              </w:rPr>
              <w:t>Tavush</w:t>
            </w:r>
          </w:p>
        </w:tc>
        <w:tc>
          <w:tcPr>
            <w:tcW w:w="4509" w:type="dxa"/>
          </w:tcPr>
          <w:p w14:paraId="26E08009" w14:textId="77777777" w:rsidR="00D50952" w:rsidRPr="00485454" w:rsidRDefault="00D50952" w:rsidP="0048610B">
            <w:pPr>
              <w:rPr>
                <w:rFonts w:cs="Arial"/>
                <w:color w:val="1D2228"/>
                <w:shd w:val="clear" w:color="auto" w:fill="FFFFFF"/>
                <w:lang w:val="en-GB"/>
              </w:rPr>
            </w:pPr>
            <w:r w:rsidRPr="00485454">
              <w:rPr>
                <w:rFonts w:cs="Arial"/>
                <w:color w:val="1D2228"/>
                <w:shd w:val="clear" w:color="auto" w:fill="FFFFFF"/>
                <w:lang w:val="en-GB"/>
              </w:rPr>
              <w:t>Berd</w:t>
            </w:r>
          </w:p>
        </w:tc>
      </w:tr>
      <w:tr w:rsidR="00D50952" w:rsidRPr="00485454" w14:paraId="60BF4ADE" w14:textId="77777777" w:rsidTr="6D13DA79">
        <w:tc>
          <w:tcPr>
            <w:tcW w:w="4508" w:type="dxa"/>
          </w:tcPr>
          <w:p w14:paraId="4C00D3D7" w14:textId="77777777" w:rsidR="00D50952" w:rsidRPr="00485454" w:rsidRDefault="00D50952" w:rsidP="0048610B">
            <w:pPr>
              <w:rPr>
                <w:rFonts w:cs="Arial"/>
                <w:lang w:val="en-GB"/>
              </w:rPr>
            </w:pPr>
          </w:p>
        </w:tc>
        <w:tc>
          <w:tcPr>
            <w:tcW w:w="4509" w:type="dxa"/>
          </w:tcPr>
          <w:p w14:paraId="56CBBA84" w14:textId="77777777" w:rsidR="00D50952" w:rsidRPr="00485454" w:rsidRDefault="00D50952" w:rsidP="0048610B">
            <w:pPr>
              <w:rPr>
                <w:rFonts w:cs="Arial"/>
                <w:color w:val="1D2228"/>
                <w:shd w:val="clear" w:color="auto" w:fill="FFFFFF"/>
                <w:lang w:val="en-GB"/>
              </w:rPr>
            </w:pPr>
          </w:p>
        </w:tc>
      </w:tr>
      <w:tr w:rsidR="00D50952" w:rsidRPr="00485454" w14:paraId="6AA76214" w14:textId="77777777" w:rsidTr="6D13DA79">
        <w:tc>
          <w:tcPr>
            <w:tcW w:w="4508" w:type="dxa"/>
            <w:vMerge w:val="restart"/>
          </w:tcPr>
          <w:p w14:paraId="25A81C96" w14:textId="77777777" w:rsidR="00D50952" w:rsidRPr="00485454" w:rsidRDefault="00D50952" w:rsidP="0048610B">
            <w:pPr>
              <w:jc w:val="center"/>
              <w:rPr>
                <w:rFonts w:cs="Arial"/>
                <w:b/>
                <w:bCs/>
                <w:lang w:val="en-GB"/>
              </w:rPr>
            </w:pPr>
          </w:p>
          <w:p w14:paraId="3D5D7C96" w14:textId="77777777" w:rsidR="00D50952" w:rsidRPr="00485454" w:rsidRDefault="00D50952" w:rsidP="0048610B">
            <w:pPr>
              <w:jc w:val="center"/>
              <w:rPr>
                <w:rFonts w:cs="Arial"/>
                <w:b/>
                <w:bCs/>
                <w:lang w:val="en-GB"/>
              </w:rPr>
            </w:pPr>
            <w:r w:rsidRPr="00485454">
              <w:rPr>
                <w:rFonts w:cs="Arial"/>
                <w:b/>
                <w:bCs/>
                <w:lang w:val="en-GB"/>
              </w:rPr>
              <w:t>Syunik</w:t>
            </w:r>
          </w:p>
        </w:tc>
        <w:tc>
          <w:tcPr>
            <w:tcW w:w="4509" w:type="dxa"/>
          </w:tcPr>
          <w:p w14:paraId="46815504" w14:textId="77777777" w:rsidR="00D50952" w:rsidRPr="00485454" w:rsidRDefault="00D50952" w:rsidP="0048610B">
            <w:pPr>
              <w:rPr>
                <w:rFonts w:cs="Arial"/>
                <w:color w:val="1D2228"/>
                <w:shd w:val="clear" w:color="auto" w:fill="FFFFFF"/>
                <w:lang w:val="en-GB"/>
              </w:rPr>
            </w:pPr>
            <w:r w:rsidRPr="00485454">
              <w:rPr>
                <w:rFonts w:cs="Arial"/>
                <w:color w:val="1D2228"/>
                <w:shd w:val="clear" w:color="auto" w:fill="FFFFFF"/>
                <w:lang w:val="en-GB"/>
              </w:rPr>
              <w:t>Kajaran</w:t>
            </w:r>
          </w:p>
        </w:tc>
      </w:tr>
      <w:tr w:rsidR="00D50952" w:rsidRPr="00485454" w14:paraId="01F71E61" w14:textId="77777777" w:rsidTr="6D13DA79">
        <w:tc>
          <w:tcPr>
            <w:tcW w:w="4508" w:type="dxa"/>
            <w:vMerge/>
          </w:tcPr>
          <w:p w14:paraId="326A7B20" w14:textId="77777777" w:rsidR="00D50952" w:rsidRPr="00485454" w:rsidRDefault="00D50952" w:rsidP="0048610B">
            <w:pPr>
              <w:rPr>
                <w:rFonts w:cs="Arial"/>
                <w:lang w:val="en-GB"/>
              </w:rPr>
            </w:pPr>
          </w:p>
        </w:tc>
        <w:tc>
          <w:tcPr>
            <w:tcW w:w="4509" w:type="dxa"/>
          </w:tcPr>
          <w:p w14:paraId="3A0236A5" w14:textId="77777777" w:rsidR="00D50952" w:rsidRPr="00485454" w:rsidRDefault="00D50952" w:rsidP="0048610B">
            <w:pPr>
              <w:rPr>
                <w:rFonts w:cs="Arial"/>
                <w:color w:val="1D2228"/>
                <w:shd w:val="clear" w:color="auto" w:fill="FFFFFF"/>
                <w:lang w:val="en-GB"/>
              </w:rPr>
            </w:pPr>
            <w:r w:rsidRPr="00485454">
              <w:rPr>
                <w:rFonts w:cs="Arial"/>
                <w:color w:val="1D2228"/>
                <w:shd w:val="clear" w:color="auto" w:fill="FFFFFF"/>
                <w:lang w:val="en-GB"/>
              </w:rPr>
              <w:t>Kapan</w:t>
            </w:r>
          </w:p>
        </w:tc>
      </w:tr>
      <w:tr w:rsidR="00D50952" w:rsidRPr="00485454" w14:paraId="108866FE" w14:textId="77777777" w:rsidTr="6D13DA79">
        <w:tc>
          <w:tcPr>
            <w:tcW w:w="4508" w:type="dxa"/>
            <w:vMerge/>
          </w:tcPr>
          <w:p w14:paraId="005518D4" w14:textId="77777777" w:rsidR="00D50952" w:rsidRPr="00485454" w:rsidRDefault="00D50952" w:rsidP="0048610B">
            <w:pPr>
              <w:rPr>
                <w:rFonts w:cs="Arial"/>
                <w:lang w:val="en-GB"/>
              </w:rPr>
            </w:pPr>
          </w:p>
        </w:tc>
        <w:tc>
          <w:tcPr>
            <w:tcW w:w="4509" w:type="dxa"/>
          </w:tcPr>
          <w:p w14:paraId="5BA62939" w14:textId="77777777" w:rsidR="00D50952" w:rsidRPr="00485454" w:rsidRDefault="00D50952" w:rsidP="0048610B">
            <w:pPr>
              <w:rPr>
                <w:rFonts w:cs="Arial"/>
                <w:color w:val="1D2228"/>
                <w:shd w:val="clear" w:color="auto" w:fill="FFFFFF"/>
                <w:lang w:val="en-GB"/>
              </w:rPr>
            </w:pPr>
            <w:r w:rsidRPr="00485454">
              <w:rPr>
                <w:rFonts w:cs="Arial"/>
                <w:color w:val="1D2228"/>
                <w:shd w:val="clear" w:color="auto" w:fill="FFFFFF"/>
                <w:lang w:val="en-GB"/>
              </w:rPr>
              <w:t>Sisian</w:t>
            </w:r>
          </w:p>
        </w:tc>
      </w:tr>
    </w:tbl>
    <w:p w14:paraId="5BE3C815" w14:textId="77777777" w:rsidR="00D50952" w:rsidRPr="00485454" w:rsidRDefault="00D50952" w:rsidP="00D50952">
      <w:pPr>
        <w:rPr>
          <w:rFonts w:cs="Arial"/>
          <w:lang w:val="en-GB"/>
        </w:rPr>
      </w:pPr>
    </w:p>
    <w:p w14:paraId="46B0AFCD" w14:textId="77777777" w:rsidR="00037A96" w:rsidRPr="00485454" w:rsidRDefault="00037A96" w:rsidP="0030104C">
      <w:pPr>
        <w:jc w:val="both"/>
        <w:rPr>
          <w:rFonts w:cs="Arial"/>
          <w:lang w:val="en-GB"/>
        </w:rPr>
      </w:pPr>
    </w:p>
    <w:sectPr w:rsidR="00037A96" w:rsidRPr="00485454" w:rsidSect="006A7006">
      <w:headerReference w:type="default" r:id="rId8"/>
      <w:footerReference w:type="default" r:id="rId9"/>
      <w:headerReference w:type="first" r:id="rId10"/>
      <w:footerReference w:type="first" r:id="rId11"/>
      <w:pgSz w:w="11907" w:h="16840" w:code="9"/>
      <w:pgMar w:top="1354" w:right="994" w:bottom="1354"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D256" w14:textId="77777777" w:rsidR="00C317EA" w:rsidRDefault="00C317EA">
      <w:r>
        <w:separator/>
      </w:r>
    </w:p>
  </w:endnote>
  <w:endnote w:type="continuationSeparator" w:id="0">
    <w:p w14:paraId="754A0724" w14:textId="77777777" w:rsidR="00C317EA" w:rsidRDefault="00C3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70AF" w14:textId="4C52B6FA" w:rsidR="006E7B8B" w:rsidRDefault="006E7B8B">
    <w:pPr>
      <w:jc w:val="right"/>
    </w:pPr>
    <w:r>
      <w:fldChar w:fldCharType="begin"/>
    </w:r>
    <w:r>
      <w:instrText xml:space="preserve"> PAGE </w:instrText>
    </w:r>
    <w:r>
      <w:fldChar w:fldCharType="separate"/>
    </w:r>
    <w:r w:rsidR="00F72717">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B163" w14:textId="51EB9FCB" w:rsidR="006E7B8B" w:rsidRDefault="006E7B8B">
    <w:pPr>
      <w:pStyle w:val="Fuzeile"/>
      <w:tabs>
        <w:tab w:val="clear" w:pos="4536"/>
      </w:tabs>
    </w:pPr>
    <w:r>
      <w:tab/>
    </w:r>
    <w:r>
      <w:rPr>
        <w:rStyle w:val="Seitenzahl"/>
      </w:rPr>
      <w:fldChar w:fldCharType="begin"/>
    </w:r>
    <w:r>
      <w:rPr>
        <w:rStyle w:val="Seitenzahl"/>
      </w:rPr>
      <w:instrText xml:space="preserve"> PAGE </w:instrText>
    </w:r>
    <w:r>
      <w:rPr>
        <w:rStyle w:val="Seitenzahl"/>
      </w:rPr>
      <w:fldChar w:fldCharType="separate"/>
    </w:r>
    <w:r w:rsidR="00F72717">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16FAB" w14:textId="77777777" w:rsidR="00C317EA" w:rsidRDefault="00C317EA">
      <w:r>
        <w:separator/>
      </w:r>
    </w:p>
  </w:footnote>
  <w:footnote w:type="continuationSeparator" w:id="0">
    <w:p w14:paraId="2D2258E5" w14:textId="77777777" w:rsidR="00C317EA" w:rsidRDefault="00C317EA">
      <w:r>
        <w:continuationSeparator/>
      </w:r>
    </w:p>
  </w:footnote>
  <w:footnote w:id="1">
    <w:p w14:paraId="6C64D177" w14:textId="0629497B" w:rsidR="00DD0341" w:rsidRPr="00DD0341" w:rsidRDefault="00DD0341">
      <w:pPr>
        <w:pStyle w:val="Funotentext"/>
        <w:rPr>
          <w:rFonts w:ascii="Arial" w:hAnsi="Arial" w:cs="Arial"/>
        </w:rPr>
      </w:pPr>
      <w:r w:rsidRPr="00DD0341">
        <w:rPr>
          <w:rStyle w:val="Funotenzeichen"/>
          <w:rFonts w:ascii="Arial" w:hAnsi="Arial" w:cs="Arial"/>
        </w:rPr>
        <w:footnoteRef/>
      </w:r>
      <w:r w:rsidRPr="00DD0341">
        <w:rPr>
          <w:rFonts w:ascii="Arial" w:hAnsi="Arial" w:cs="Arial"/>
        </w:rPr>
        <w:t xml:space="preserve"> Government Programme, 8 February 2019 (N65-A)</w:t>
      </w:r>
    </w:p>
  </w:footnote>
  <w:footnote w:id="2">
    <w:p w14:paraId="06421D16" w14:textId="29799388" w:rsidR="00EF3A79" w:rsidRPr="00FD4BA1" w:rsidRDefault="006E7B8B" w:rsidP="00EE1B43">
      <w:pPr>
        <w:pStyle w:val="Funotentext"/>
        <w:jc w:val="both"/>
        <w:rPr>
          <w:rFonts w:ascii="Arial" w:hAnsi="Arial" w:cs="Arial"/>
        </w:rPr>
      </w:pPr>
      <w:r w:rsidRPr="00DD0341">
        <w:rPr>
          <w:rStyle w:val="Funotenzeichen"/>
          <w:rFonts w:ascii="Arial" w:hAnsi="Arial" w:cs="Arial"/>
        </w:rPr>
        <w:footnoteRef/>
      </w:r>
      <w:r w:rsidRPr="00DD0341">
        <w:rPr>
          <w:rFonts w:ascii="Arial" w:hAnsi="Arial" w:cs="Arial"/>
        </w:rPr>
        <w:t xml:space="preserve"> Government Decree N 53-A, December 21, 2017.</w:t>
      </w:r>
    </w:p>
  </w:footnote>
  <w:footnote w:id="3">
    <w:p w14:paraId="6EA9A79F" w14:textId="6B5129CF" w:rsidR="00FD4BA1" w:rsidRPr="00FD4BA1" w:rsidRDefault="00FD4BA1" w:rsidP="00FD4BA1">
      <w:pPr>
        <w:pStyle w:val="Funotentext"/>
        <w:jc w:val="both"/>
        <w:rPr>
          <w:rFonts w:ascii="Arial" w:hAnsi="Arial" w:cs="Arial"/>
        </w:rPr>
      </w:pPr>
      <w:r w:rsidRPr="00FD4BA1">
        <w:rPr>
          <w:rStyle w:val="Funotenzeichen"/>
          <w:rFonts w:ascii="Arial" w:hAnsi="Arial" w:cs="Arial"/>
        </w:rPr>
        <w:footnoteRef/>
      </w:r>
      <w:r w:rsidRPr="00FD4BA1">
        <w:rPr>
          <w:rFonts w:ascii="Arial" w:hAnsi="Arial" w:cs="Arial"/>
        </w:rPr>
        <w:t xml:space="preserve"> This activity is currently strongly supported by the Post-COVID LED Grant Scheme</w:t>
      </w:r>
      <w:r>
        <w:rPr>
          <w:rFonts w:ascii="Arial" w:hAnsi="Arial" w:cs="Arial"/>
        </w:rPr>
        <w:t>, where LED Core Group assumes an importation role of appraisers and providers of technical support to LSGs in designing their proposals.</w:t>
      </w:r>
    </w:p>
  </w:footnote>
  <w:footnote w:id="4">
    <w:p w14:paraId="50D4A9AF" w14:textId="04318C1F" w:rsidR="00FD4BA1" w:rsidRPr="00FD4BA1" w:rsidRDefault="00FD4BA1">
      <w:pPr>
        <w:pStyle w:val="Funotentext"/>
      </w:pPr>
      <w:r>
        <w:rPr>
          <w:rStyle w:val="Funotenzeichen"/>
        </w:rPr>
        <w:footnoteRef/>
      </w:r>
      <w:r>
        <w:t xml:space="preserve"> </w:t>
      </w:r>
      <w:r w:rsidRPr="00DD0341">
        <w:rPr>
          <w:rFonts w:ascii="Arial" w:hAnsi="Arial" w:cs="Arial"/>
          <w:lang w:val="en-US"/>
        </w:rPr>
        <w:t>Jermuk, Vayk, Zaritap (Vayots Dzor Region); Tumanyan (Lori Region); Amasia, Arpi, Ashotsk, Sarapat (Shirak Region); Ayrum, Dilijan, Koghb, Noyemberyan (Tavush Region); Gorayk, Goris, Meghri, Tatev, Tegh (Syunik Region); and Urtsadzor (Ararat Region)</w:t>
      </w:r>
    </w:p>
  </w:footnote>
  <w:footnote w:id="5">
    <w:p w14:paraId="62CB7C86" w14:textId="4230D233" w:rsidR="00D34A6F" w:rsidRPr="00D1616B" w:rsidRDefault="00D34A6F" w:rsidP="00AA3261">
      <w:pPr>
        <w:pStyle w:val="Funotentext"/>
        <w:jc w:val="both"/>
        <w:rPr>
          <w:rFonts w:ascii="Arial" w:hAnsi="Arial" w:cs="Arial"/>
          <w:sz w:val="22"/>
          <w:szCs w:val="22"/>
          <w:lang w:val="hy-AM"/>
        </w:rPr>
      </w:pPr>
      <w:r w:rsidRPr="00DD0341">
        <w:rPr>
          <w:rStyle w:val="Funotenzeichen"/>
          <w:rFonts w:ascii="Arial" w:hAnsi="Arial" w:cs="Arial"/>
        </w:rPr>
        <w:footnoteRef/>
      </w:r>
      <w:r w:rsidRPr="00DD0341">
        <w:rPr>
          <w:rFonts w:ascii="Arial" w:hAnsi="Arial" w:cs="Arial"/>
        </w:rPr>
        <w:t xml:space="preserve"> </w:t>
      </w:r>
      <w:r w:rsidR="00483058" w:rsidRPr="00483058">
        <w:rPr>
          <w:rFonts w:ascii="Arial" w:hAnsi="Arial" w:cs="Arial"/>
          <w:lang w:val="hy-AM"/>
        </w:rPr>
        <w:t xml:space="preserve">The list of communities will be determined during the first months of the project, taking into account the motivation of the municipalities and the current economic situation (how much the community </w:t>
      </w:r>
      <w:r w:rsidR="00483058">
        <w:rPr>
          <w:rFonts w:ascii="Arial" w:hAnsi="Arial" w:cs="Arial"/>
          <w:lang w:val="en-US"/>
        </w:rPr>
        <w:t xml:space="preserve">is </w:t>
      </w:r>
      <w:r w:rsidR="00483058" w:rsidRPr="00483058">
        <w:rPr>
          <w:rFonts w:ascii="Arial" w:hAnsi="Arial" w:cs="Arial"/>
          <w:lang w:val="hy-AM"/>
        </w:rPr>
        <w:t>ready to focus additional efforts and resources in that direction at the moment)</w:t>
      </w:r>
    </w:p>
  </w:footnote>
  <w:footnote w:id="6">
    <w:p w14:paraId="745DC01C" w14:textId="398AD512" w:rsidR="00485ED3" w:rsidRPr="00400282" w:rsidRDefault="00485ED3">
      <w:pPr>
        <w:pStyle w:val="Funotentext"/>
        <w:rPr>
          <w:rFonts w:ascii="Arial" w:hAnsi="Arial" w:cs="Arial"/>
          <w:lang w:val="en-US"/>
        </w:rPr>
      </w:pPr>
      <w:r w:rsidRPr="00485ED3">
        <w:rPr>
          <w:rStyle w:val="Funotenzeichen"/>
          <w:rFonts w:ascii="Arial" w:hAnsi="Arial" w:cs="Arial"/>
        </w:rPr>
        <w:footnoteRef/>
      </w:r>
      <w:r w:rsidRPr="00485ED3">
        <w:rPr>
          <w:rFonts w:ascii="Arial" w:hAnsi="Arial" w:cs="Arial"/>
        </w:rPr>
        <w:t xml:space="preserve"> </w:t>
      </w:r>
      <w:r w:rsidRPr="00485ED3">
        <w:rPr>
          <w:rFonts w:ascii="Arial" w:hAnsi="Arial" w:cs="Arial"/>
          <w:lang w:val="en-US"/>
        </w:rPr>
        <w:t>The list of LED officers to be covered by the trainings will be defined in consultations with the MTAI, Core Group and GIZ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37EB" w14:textId="77777777" w:rsidR="006E7B8B" w:rsidRDefault="006E7B8B">
    <w:pPr>
      <w:pStyle w:val="Kopfzeile"/>
      <w:tabs>
        <w:tab w:val="clear" w:pos="4252"/>
        <w:tab w:val="clear" w:pos="8504"/>
      </w:tabs>
      <w:ind w:left="7797"/>
    </w:pPr>
    <w:r>
      <w:rPr>
        <w:noProof/>
        <w:lang w:val="en-US" w:eastAsia="en-US"/>
      </w:rPr>
      <w:drawing>
        <wp:inline distT="0" distB="0" distL="0" distR="0" wp14:anchorId="73C64BA9" wp14:editId="1951911A">
          <wp:extent cx="895350" cy="895350"/>
          <wp:effectExtent l="1905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6E7B8B" w14:paraId="13FD46A3" w14:textId="77777777" w:rsidTr="05FC6599">
      <w:tc>
        <w:tcPr>
          <w:tcW w:w="7230" w:type="dxa"/>
        </w:tcPr>
        <w:p w14:paraId="52DBE263" w14:textId="77777777" w:rsidR="006E7B8B" w:rsidRPr="00DA52E8" w:rsidRDefault="006E7B8B">
          <w:pPr>
            <w:pStyle w:val="Kopfzeile"/>
            <w:tabs>
              <w:tab w:val="clear" w:pos="4252"/>
              <w:tab w:val="clear" w:pos="8504"/>
            </w:tabs>
            <w:spacing w:before="660"/>
            <w:rPr>
              <w:sz w:val="28"/>
              <w:lang w:val="en-US"/>
            </w:rPr>
          </w:pPr>
          <w:r w:rsidRPr="00DB5056">
            <w:rPr>
              <w:b/>
              <w:sz w:val="28"/>
              <w:lang w:val="en-US"/>
            </w:rPr>
            <w:t xml:space="preserve">TOR for Short Term </w:t>
          </w:r>
          <w:r>
            <w:rPr>
              <w:b/>
              <w:sz w:val="28"/>
              <w:lang w:val="en-US"/>
            </w:rPr>
            <w:t>Consultancy Assignment</w:t>
          </w:r>
        </w:p>
      </w:tc>
      <w:tc>
        <w:tcPr>
          <w:tcW w:w="1842" w:type="dxa"/>
        </w:tcPr>
        <w:p w14:paraId="5888D26B" w14:textId="77777777" w:rsidR="006E7B8B" w:rsidRDefault="006E7B8B">
          <w:pPr>
            <w:pStyle w:val="Kopfzeile"/>
            <w:ind w:firstLine="567"/>
          </w:pPr>
          <w:r>
            <w:rPr>
              <w:noProof/>
              <w:lang w:val="en-US" w:eastAsia="en-US"/>
            </w:rPr>
            <w:drawing>
              <wp:inline distT="0" distB="0" distL="0" distR="0" wp14:anchorId="69384BEA" wp14:editId="2FC53610">
                <wp:extent cx="895350" cy="89535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768BA70A" w14:textId="77777777" w:rsidR="006E7B8B" w:rsidRDefault="006E7B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819"/>
    <w:multiLevelType w:val="hybridMultilevel"/>
    <w:tmpl w:val="63122E9C"/>
    <w:lvl w:ilvl="0" w:tplc="66D43642">
      <w:start w:val="1"/>
      <w:numFmt w:val="decimal"/>
      <w:lvlText w:val="%1)"/>
      <w:lvlJc w:val="left"/>
      <w:pPr>
        <w:ind w:left="360" w:hanging="360"/>
      </w:pPr>
      <w:rPr>
        <w:rFonts w:hint="default"/>
      </w:rPr>
    </w:lvl>
    <w:lvl w:ilvl="1" w:tplc="7F020580">
      <w:numFmt w:val="bullet"/>
      <w:lvlText w:val="•"/>
      <w:lvlJc w:val="left"/>
      <w:pPr>
        <w:ind w:left="1080" w:hanging="360"/>
      </w:pPr>
      <w:rPr>
        <w:rFonts w:ascii="Calibri" w:eastAsia="Calibri" w:hAnsi="Calibri" w:cs="Calibri"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DF793F"/>
    <w:multiLevelType w:val="hybridMultilevel"/>
    <w:tmpl w:val="6BDAEA9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42E2"/>
    <w:multiLevelType w:val="hybridMultilevel"/>
    <w:tmpl w:val="55E0F722"/>
    <w:lvl w:ilvl="0" w:tplc="04070001">
      <w:start w:val="1"/>
      <w:numFmt w:val="bullet"/>
      <w:lvlText w:val=""/>
      <w:lvlJc w:val="left"/>
      <w:pPr>
        <w:ind w:left="1790" w:hanging="360"/>
      </w:pPr>
      <w:rPr>
        <w:rFonts w:ascii="Symbol" w:hAnsi="Symbol" w:hint="default"/>
      </w:rPr>
    </w:lvl>
    <w:lvl w:ilvl="1" w:tplc="04070003" w:tentative="1">
      <w:start w:val="1"/>
      <w:numFmt w:val="bullet"/>
      <w:lvlText w:val="o"/>
      <w:lvlJc w:val="left"/>
      <w:pPr>
        <w:ind w:left="2510" w:hanging="360"/>
      </w:pPr>
      <w:rPr>
        <w:rFonts w:ascii="Courier New" w:hAnsi="Courier New" w:cs="Courier New" w:hint="default"/>
      </w:rPr>
    </w:lvl>
    <w:lvl w:ilvl="2" w:tplc="04070005" w:tentative="1">
      <w:start w:val="1"/>
      <w:numFmt w:val="bullet"/>
      <w:lvlText w:val=""/>
      <w:lvlJc w:val="left"/>
      <w:pPr>
        <w:ind w:left="3230" w:hanging="360"/>
      </w:pPr>
      <w:rPr>
        <w:rFonts w:ascii="Wingdings" w:hAnsi="Wingdings" w:hint="default"/>
      </w:rPr>
    </w:lvl>
    <w:lvl w:ilvl="3" w:tplc="04070001" w:tentative="1">
      <w:start w:val="1"/>
      <w:numFmt w:val="bullet"/>
      <w:lvlText w:val=""/>
      <w:lvlJc w:val="left"/>
      <w:pPr>
        <w:ind w:left="3950" w:hanging="360"/>
      </w:pPr>
      <w:rPr>
        <w:rFonts w:ascii="Symbol" w:hAnsi="Symbol" w:hint="default"/>
      </w:rPr>
    </w:lvl>
    <w:lvl w:ilvl="4" w:tplc="04070003" w:tentative="1">
      <w:start w:val="1"/>
      <w:numFmt w:val="bullet"/>
      <w:lvlText w:val="o"/>
      <w:lvlJc w:val="left"/>
      <w:pPr>
        <w:ind w:left="4670" w:hanging="360"/>
      </w:pPr>
      <w:rPr>
        <w:rFonts w:ascii="Courier New" w:hAnsi="Courier New" w:cs="Courier New" w:hint="default"/>
      </w:rPr>
    </w:lvl>
    <w:lvl w:ilvl="5" w:tplc="04070005" w:tentative="1">
      <w:start w:val="1"/>
      <w:numFmt w:val="bullet"/>
      <w:lvlText w:val=""/>
      <w:lvlJc w:val="left"/>
      <w:pPr>
        <w:ind w:left="5390" w:hanging="360"/>
      </w:pPr>
      <w:rPr>
        <w:rFonts w:ascii="Wingdings" w:hAnsi="Wingdings" w:hint="default"/>
      </w:rPr>
    </w:lvl>
    <w:lvl w:ilvl="6" w:tplc="04070001" w:tentative="1">
      <w:start w:val="1"/>
      <w:numFmt w:val="bullet"/>
      <w:lvlText w:val=""/>
      <w:lvlJc w:val="left"/>
      <w:pPr>
        <w:ind w:left="6110" w:hanging="360"/>
      </w:pPr>
      <w:rPr>
        <w:rFonts w:ascii="Symbol" w:hAnsi="Symbol" w:hint="default"/>
      </w:rPr>
    </w:lvl>
    <w:lvl w:ilvl="7" w:tplc="04070003" w:tentative="1">
      <w:start w:val="1"/>
      <w:numFmt w:val="bullet"/>
      <w:lvlText w:val="o"/>
      <w:lvlJc w:val="left"/>
      <w:pPr>
        <w:ind w:left="6830" w:hanging="360"/>
      </w:pPr>
      <w:rPr>
        <w:rFonts w:ascii="Courier New" w:hAnsi="Courier New" w:cs="Courier New" w:hint="default"/>
      </w:rPr>
    </w:lvl>
    <w:lvl w:ilvl="8" w:tplc="04070005" w:tentative="1">
      <w:start w:val="1"/>
      <w:numFmt w:val="bullet"/>
      <w:lvlText w:val=""/>
      <w:lvlJc w:val="left"/>
      <w:pPr>
        <w:ind w:left="7550" w:hanging="360"/>
      </w:pPr>
      <w:rPr>
        <w:rFonts w:ascii="Wingdings" w:hAnsi="Wingdings" w:hint="default"/>
      </w:rPr>
    </w:lvl>
  </w:abstractNum>
  <w:abstractNum w:abstractNumId="3" w15:restartNumberingAfterBreak="0">
    <w:nsid w:val="05B21BF6"/>
    <w:multiLevelType w:val="hybridMultilevel"/>
    <w:tmpl w:val="DFA448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26ECB"/>
    <w:multiLevelType w:val="hybridMultilevel"/>
    <w:tmpl w:val="5BA2C5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035603"/>
    <w:multiLevelType w:val="hybridMultilevel"/>
    <w:tmpl w:val="897832F4"/>
    <w:lvl w:ilvl="0" w:tplc="3ECEAE7C">
      <w:start w:val="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5BC1"/>
    <w:multiLevelType w:val="hybridMultilevel"/>
    <w:tmpl w:val="5FEC6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7" w15:restartNumberingAfterBreak="0">
    <w:nsid w:val="121977DA"/>
    <w:multiLevelType w:val="hybridMultilevel"/>
    <w:tmpl w:val="863C3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C72C5B"/>
    <w:multiLevelType w:val="hybridMultilevel"/>
    <w:tmpl w:val="B21A44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3B51DE"/>
    <w:multiLevelType w:val="hybridMultilevel"/>
    <w:tmpl w:val="EC0038E2"/>
    <w:lvl w:ilvl="0" w:tplc="0407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61655"/>
    <w:multiLevelType w:val="hybridMultilevel"/>
    <w:tmpl w:val="661CC6BC"/>
    <w:lvl w:ilvl="0" w:tplc="9634CD0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DE30D4"/>
    <w:multiLevelType w:val="hybridMultilevel"/>
    <w:tmpl w:val="D4403AF0"/>
    <w:lvl w:ilvl="0" w:tplc="FFFFFFF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EC02B0"/>
    <w:multiLevelType w:val="hybridMultilevel"/>
    <w:tmpl w:val="9CA4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32F70"/>
    <w:multiLevelType w:val="hybridMultilevel"/>
    <w:tmpl w:val="4B8E0ACC"/>
    <w:lvl w:ilvl="0" w:tplc="447CBE54">
      <w:numFmt w:val="bullet"/>
      <w:lvlText w:val=""/>
      <w:lvlJc w:val="left"/>
      <w:pPr>
        <w:ind w:left="1065" w:hanging="705"/>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37B9E"/>
    <w:multiLevelType w:val="hybridMultilevel"/>
    <w:tmpl w:val="EB189DEC"/>
    <w:lvl w:ilvl="0" w:tplc="9FAE843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8B606FD"/>
    <w:multiLevelType w:val="hybridMultilevel"/>
    <w:tmpl w:val="795A0220"/>
    <w:lvl w:ilvl="0" w:tplc="01321858">
      <w:start w:val="1"/>
      <w:numFmt w:val="bullet"/>
      <w:lvlText w:val="-"/>
      <w:lvlJc w:val="left"/>
      <w:pPr>
        <w:ind w:left="720" w:hanging="360"/>
      </w:pPr>
      <w:rPr>
        <w:rFonts w:ascii="Calibri" w:hAnsi="Calibri" w:hint="default"/>
      </w:rPr>
    </w:lvl>
    <w:lvl w:ilvl="1" w:tplc="4698A46C">
      <w:start w:val="1"/>
      <w:numFmt w:val="bullet"/>
      <w:lvlText w:val="o"/>
      <w:lvlJc w:val="left"/>
      <w:pPr>
        <w:ind w:left="1440" w:hanging="360"/>
      </w:pPr>
      <w:rPr>
        <w:rFonts w:ascii="Courier New" w:hAnsi="Courier New" w:hint="default"/>
      </w:rPr>
    </w:lvl>
    <w:lvl w:ilvl="2" w:tplc="547EC6C6">
      <w:start w:val="1"/>
      <w:numFmt w:val="bullet"/>
      <w:lvlText w:val=""/>
      <w:lvlJc w:val="left"/>
      <w:pPr>
        <w:ind w:left="2160" w:hanging="360"/>
      </w:pPr>
      <w:rPr>
        <w:rFonts w:ascii="Wingdings" w:hAnsi="Wingdings" w:hint="default"/>
      </w:rPr>
    </w:lvl>
    <w:lvl w:ilvl="3" w:tplc="4B80C1E8">
      <w:start w:val="1"/>
      <w:numFmt w:val="bullet"/>
      <w:lvlText w:val=""/>
      <w:lvlJc w:val="left"/>
      <w:pPr>
        <w:ind w:left="2880" w:hanging="360"/>
      </w:pPr>
      <w:rPr>
        <w:rFonts w:ascii="Symbol" w:hAnsi="Symbol" w:hint="default"/>
      </w:rPr>
    </w:lvl>
    <w:lvl w:ilvl="4" w:tplc="5E6E084C">
      <w:start w:val="1"/>
      <w:numFmt w:val="bullet"/>
      <w:lvlText w:val="o"/>
      <w:lvlJc w:val="left"/>
      <w:pPr>
        <w:ind w:left="3600" w:hanging="360"/>
      </w:pPr>
      <w:rPr>
        <w:rFonts w:ascii="Courier New" w:hAnsi="Courier New" w:hint="default"/>
      </w:rPr>
    </w:lvl>
    <w:lvl w:ilvl="5" w:tplc="B782A7A6">
      <w:start w:val="1"/>
      <w:numFmt w:val="bullet"/>
      <w:lvlText w:val=""/>
      <w:lvlJc w:val="left"/>
      <w:pPr>
        <w:ind w:left="4320" w:hanging="360"/>
      </w:pPr>
      <w:rPr>
        <w:rFonts w:ascii="Wingdings" w:hAnsi="Wingdings" w:hint="default"/>
      </w:rPr>
    </w:lvl>
    <w:lvl w:ilvl="6" w:tplc="FBB2955E">
      <w:start w:val="1"/>
      <w:numFmt w:val="bullet"/>
      <w:lvlText w:val=""/>
      <w:lvlJc w:val="left"/>
      <w:pPr>
        <w:ind w:left="5040" w:hanging="360"/>
      </w:pPr>
      <w:rPr>
        <w:rFonts w:ascii="Symbol" w:hAnsi="Symbol" w:hint="default"/>
      </w:rPr>
    </w:lvl>
    <w:lvl w:ilvl="7" w:tplc="B07AA4DE">
      <w:start w:val="1"/>
      <w:numFmt w:val="bullet"/>
      <w:lvlText w:val="o"/>
      <w:lvlJc w:val="left"/>
      <w:pPr>
        <w:ind w:left="5760" w:hanging="360"/>
      </w:pPr>
      <w:rPr>
        <w:rFonts w:ascii="Courier New" w:hAnsi="Courier New" w:hint="default"/>
      </w:rPr>
    </w:lvl>
    <w:lvl w:ilvl="8" w:tplc="44528614">
      <w:start w:val="1"/>
      <w:numFmt w:val="bullet"/>
      <w:lvlText w:val=""/>
      <w:lvlJc w:val="left"/>
      <w:pPr>
        <w:ind w:left="6480" w:hanging="360"/>
      </w:pPr>
      <w:rPr>
        <w:rFonts w:ascii="Wingdings" w:hAnsi="Wingdings" w:hint="default"/>
      </w:rPr>
    </w:lvl>
  </w:abstractNum>
  <w:abstractNum w:abstractNumId="16" w15:restartNumberingAfterBreak="0">
    <w:nsid w:val="29A550C3"/>
    <w:multiLevelType w:val="hybridMultilevel"/>
    <w:tmpl w:val="BD645A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D87050"/>
    <w:multiLevelType w:val="hybridMultilevel"/>
    <w:tmpl w:val="BB765044"/>
    <w:lvl w:ilvl="0" w:tplc="6DBC388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AF72B0"/>
    <w:multiLevelType w:val="hybridMultilevel"/>
    <w:tmpl w:val="5374E48A"/>
    <w:lvl w:ilvl="0" w:tplc="A81014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F67BC9"/>
    <w:multiLevelType w:val="hybridMultilevel"/>
    <w:tmpl w:val="42A8A686"/>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35AC"/>
    <w:multiLevelType w:val="hybridMultilevel"/>
    <w:tmpl w:val="7B3C5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B4C13"/>
    <w:multiLevelType w:val="hybridMultilevel"/>
    <w:tmpl w:val="8822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95C82"/>
    <w:multiLevelType w:val="hybridMultilevel"/>
    <w:tmpl w:val="4D262B48"/>
    <w:lvl w:ilvl="0" w:tplc="04070003">
      <w:start w:val="1"/>
      <w:numFmt w:val="bullet"/>
      <w:lvlText w:val="o"/>
      <w:lvlJc w:val="left"/>
      <w:pPr>
        <w:ind w:left="1077" w:hanging="360"/>
      </w:pPr>
      <w:rPr>
        <w:rFonts w:ascii="Courier New" w:hAnsi="Courier New" w:cs="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3" w15:restartNumberingAfterBreak="0">
    <w:nsid w:val="411C02F3"/>
    <w:multiLevelType w:val="hybridMultilevel"/>
    <w:tmpl w:val="E020B1F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4D7714ED"/>
    <w:multiLevelType w:val="hybridMultilevel"/>
    <w:tmpl w:val="30D6E720"/>
    <w:lvl w:ilvl="0" w:tplc="FFFFFFF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6F39C3"/>
    <w:multiLevelType w:val="hybridMultilevel"/>
    <w:tmpl w:val="4F644256"/>
    <w:lvl w:ilvl="0" w:tplc="D8061B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A7DDF"/>
    <w:multiLevelType w:val="hybridMultilevel"/>
    <w:tmpl w:val="68B2104C"/>
    <w:lvl w:ilvl="0" w:tplc="FFFFFFFF">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AD5345"/>
    <w:multiLevelType w:val="hybridMultilevel"/>
    <w:tmpl w:val="3612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0441C"/>
    <w:multiLevelType w:val="hybridMultilevel"/>
    <w:tmpl w:val="BD1EE2BA"/>
    <w:lvl w:ilvl="0" w:tplc="DD50FE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B5B89"/>
    <w:multiLevelType w:val="hybridMultilevel"/>
    <w:tmpl w:val="C26C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04315"/>
    <w:multiLevelType w:val="hybridMultilevel"/>
    <w:tmpl w:val="580656D0"/>
    <w:lvl w:ilvl="0" w:tplc="04070001">
      <w:start w:val="1"/>
      <w:numFmt w:val="bullet"/>
      <w:lvlText w:val=""/>
      <w:lvlJc w:val="left"/>
      <w:pPr>
        <w:ind w:left="107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90068"/>
    <w:multiLevelType w:val="hybridMultilevel"/>
    <w:tmpl w:val="A5F2CE7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B7BEA"/>
    <w:multiLevelType w:val="hybridMultilevel"/>
    <w:tmpl w:val="47A05C4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81E6E"/>
    <w:multiLevelType w:val="hybridMultilevel"/>
    <w:tmpl w:val="8834BD7A"/>
    <w:lvl w:ilvl="0" w:tplc="EE1060BC">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0E59D3"/>
    <w:multiLevelType w:val="hybridMultilevel"/>
    <w:tmpl w:val="8B5CD8B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5" w15:restartNumberingAfterBreak="0">
    <w:nsid w:val="5F5A4C0E"/>
    <w:multiLevelType w:val="hybridMultilevel"/>
    <w:tmpl w:val="08143386"/>
    <w:lvl w:ilvl="0" w:tplc="06B0EA64">
      <w:start w:val="1"/>
      <w:numFmt w:val="decimal"/>
      <w:lvlText w:val="(%1)"/>
      <w:lvlJc w:val="left"/>
      <w:pPr>
        <w:ind w:left="720" w:hanging="360"/>
      </w:pPr>
    </w:lvl>
    <w:lvl w:ilvl="1" w:tplc="7C24E782">
      <w:start w:val="1"/>
      <w:numFmt w:val="lowerLetter"/>
      <w:lvlText w:val="%2."/>
      <w:lvlJc w:val="left"/>
      <w:pPr>
        <w:ind w:left="1440" w:hanging="360"/>
      </w:pPr>
    </w:lvl>
    <w:lvl w:ilvl="2" w:tplc="195AEAB0">
      <w:start w:val="1"/>
      <w:numFmt w:val="lowerRoman"/>
      <w:lvlText w:val="%3."/>
      <w:lvlJc w:val="right"/>
      <w:pPr>
        <w:ind w:left="2160" w:hanging="180"/>
      </w:pPr>
    </w:lvl>
    <w:lvl w:ilvl="3" w:tplc="25FE0DA2">
      <w:start w:val="1"/>
      <w:numFmt w:val="decimal"/>
      <w:lvlText w:val="%4."/>
      <w:lvlJc w:val="left"/>
      <w:pPr>
        <w:ind w:left="2880" w:hanging="360"/>
      </w:pPr>
    </w:lvl>
    <w:lvl w:ilvl="4" w:tplc="7FD6A358">
      <w:start w:val="1"/>
      <w:numFmt w:val="lowerLetter"/>
      <w:lvlText w:val="%5."/>
      <w:lvlJc w:val="left"/>
      <w:pPr>
        <w:ind w:left="3600" w:hanging="360"/>
      </w:pPr>
    </w:lvl>
    <w:lvl w:ilvl="5" w:tplc="D500F3A8">
      <w:start w:val="1"/>
      <w:numFmt w:val="lowerRoman"/>
      <w:lvlText w:val="%6."/>
      <w:lvlJc w:val="right"/>
      <w:pPr>
        <w:ind w:left="4320" w:hanging="180"/>
      </w:pPr>
    </w:lvl>
    <w:lvl w:ilvl="6" w:tplc="F740D5F2">
      <w:start w:val="1"/>
      <w:numFmt w:val="decimal"/>
      <w:lvlText w:val="%7."/>
      <w:lvlJc w:val="left"/>
      <w:pPr>
        <w:ind w:left="5040" w:hanging="360"/>
      </w:pPr>
    </w:lvl>
    <w:lvl w:ilvl="7" w:tplc="368CF2E8">
      <w:start w:val="1"/>
      <w:numFmt w:val="lowerLetter"/>
      <w:lvlText w:val="%8."/>
      <w:lvlJc w:val="left"/>
      <w:pPr>
        <w:ind w:left="5760" w:hanging="360"/>
      </w:pPr>
    </w:lvl>
    <w:lvl w:ilvl="8" w:tplc="346C96A6">
      <w:start w:val="1"/>
      <w:numFmt w:val="lowerRoman"/>
      <w:lvlText w:val="%9."/>
      <w:lvlJc w:val="right"/>
      <w:pPr>
        <w:ind w:left="6480" w:hanging="180"/>
      </w:pPr>
    </w:lvl>
  </w:abstractNum>
  <w:abstractNum w:abstractNumId="36" w15:restartNumberingAfterBreak="0">
    <w:nsid w:val="5F7842BD"/>
    <w:multiLevelType w:val="hybridMultilevel"/>
    <w:tmpl w:val="6EE8437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AE58BC"/>
    <w:multiLevelType w:val="hybridMultilevel"/>
    <w:tmpl w:val="B50A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03FDB"/>
    <w:multiLevelType w:val="hybridMultilevel"/>
    <w:tmpl w:val="2D28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155B8"/>
    <w:multiLevelType w:val="hybridMultilevel"/>
    <w:tmpl w:val="8E1E781C"/>
    <w:lvl w:ilvl="0" w:tplc="66D43642">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7EA532F"/>
    <w:multiLevelType w:val="hybridMultilevel"/>
    <w:tmpl w:val="76842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8670920"/>
    <w:multiLevelType w:val="hybridMultilevel"/>
    <w:tmpl w:val="A8C4D92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2" w15:restartNumberingAfterBreak="0">
    <w:nsid w:val="6C0720D7"/>
    <w:multiLevelType w:val="hybridMultilevel"/>
    <w:tmpl w:val="39AA9D0E"/>
    <w:lvl w:ilvl="0" w:tplc="04070011">
      <w:start w:val="1"/>
      <w:numFmt w:val="decimal"/>
      <w:lvlText w:val="%1)"/>
      <w:lvlJc w:val="left"/>
      <w:pPr>
        <w:ind w:left="720" w:hanging="360"/>
      </w:pPr>
      <w:rPr>
        <w:rFonts w:hint="default"/>
      </w:rPr>
    </w:lvl>
    <w:lvl w:ilvl="1" w:tplc="AABEA4A0">
      <w:start w:val="1"/>
      <w:numFmt w:val="lowerLetter"/>
      <w:lvlText w:val="%2."/>
      <w:lvlJc w:val="left"/>
      <w:pPr>
        <w:ind w:left="1440" w:hanging="360"/>
      </w:pPr>
      <w:rPr>
        <w:b w:val="0"/>
        <w:bCs/>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FAE3C6E"/>
    <w:multiLevelType w:val="hybridMultilevel"/>
    <w:tmpl w:val="6E1E10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1800808"/>
    <w:multiLevelType w:val="hybridMultilevel"/>
    <w:tmpl w:val="9DC2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41F91"/>
    <w:multiLevelType w:val="hybridMultilevel"/>
    <w:tmpl w:val="8078F1BA"/>
    <w:lvl w:ilvl="0" w:tplc="0C880BC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B2485"/>
    <w:multiLevelType w:val="hybridMultilevel"/>
    <w:tmpl w:val="6178957E"/>
    <w:lvl w:ilvl="0" w:tplc="AC585CA0">
      <w:start w:val="1"/>
      <w:numFmt w:val="decimal"/>
      <w:lvlText w:val="%1)"/>
      <w:lvlJc w:val="left"/>
      <w:pPr>
        <w:ind w:left="720" w:hanging="360"/>
      </w:pPr>
    </w:lvl>
    <w:lvl w:ilvl="1" w:tplc="CDB66364">
      <w:start w:val="1"/>
      <w:numFmt w:val="lowerLetter"/>
      <w:lvlText w:val="%2."/>
      <w:lvlJc w:val="left"/>
      <w:pPr>
        <w:ind w:left="1440" w:hanging="360"/>
      </w:pPr>
    </w:lvl>
    <w:lvl w:ilvl="2" w:tplc="4A6CA7F8">
      <w:start w:val="1"/>
      <w:numFmt w:val="lowerRoman"/>
      <w:lvlText w:val="%3."/>
      <w:lvlJc w:val="right"/>
      <w:pPr>
        <w:ind w:left="2160" w:hanging="180"/>
      </w:pPr>
    </w:lvl>
    <w:lvl w:ilvl="3" w:tplc="5C92D550">
      <w:start w:val="1"/>
      <w:numFmt w:val="decimal"/>
      <w:lvlText w:val="%4."/>
      <w:lvlJc w:val="left"/>
      <w:pPr>
        <w:ind w:left="2880" w:hanging="360"/>
      </w:pPr>
    </w:lvl>
    <w:lvl w:ilvl="4" w:tplc="E47C1EAA">
      <w:start w:val="1"/>
      <w:numFmt w:val="lowerLetter"/>
      <w:lvlText w:val="%5."/>
      <w:lvlJc w:val="left"/>
      <w:pPr>
        <w:ind w:left="3600" w:hanging="360"/>
      </w:pPr>
    </w:lvl>
    <w:lvl w:ilvl="5" w:tplc="D2300C80">
      <w:start w:val="1"/>
      <w:numFmt w:val="lowerRoman"/>
      <w:lvlText w:val="%6."/>
      <w:lvlJc w:val="right"/>
      <w:pPr>
        <w:ind w:left="4320" w:hanging="180"/>
      </w:pPr>
    </w:lvl>
    <w:lvl w:ilvl="6" w:tplc="08028710">
      <w:start w:val="1"/>
      <w:numFmt w:val="decimal"/>
      <w:lvlText w:val="%7."/>
      <w:lvlJc w:val="left"/>
      <w:pPr>
        <w:ind w:left="5040" w:hanging="360"/>
      </w:pPr>
    </w:lvl>
    <w:lvl w:ilvl="7" w:tplc="D7464D54">
      <w:start w:val="1"/>
      <w:numFmt w:val="lowerLetter"/>
      <w:lvlText w:val="%8."/>
      <w:lvlJc w:val="left"/>
      <w:pPr>
        <w:ind w:left="5760" w:hanging="360"/>
      </w:pPr>
    </w:lvl>
    <w:lvl w:ilvl="8" w:tplc="06C89F62">
      <w:start w:val="1"/>
      <w:numFmt w:val="lowerRoman"/>
      <w:lvlText w:val="%9."/>
      <w:lvlJc w:val="right"/>
      <w:pPr>
        <w:ind w:left="6480" w:hanging="180"/>
      </w:pPr>
    </w:lvl>
  </w:abstractNum>
  <w:abstractNum w:abstractNumId="47" w15:restartNumberingAfterBreak="0">
    <w:nsid w:val="78034E5C"/>
    <w:multiLevelType w:val="hybridMultilevel"/>
    <w:tmpl w:val="A4FCD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84A0401"/>
    <w:multiLevelType w:val="hybridMultilevel"/>
    <w:tmpl w:val="9E0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D64CA4"/>
    <w:multiLevelType w:val="hybridMultilevel"/>
    <w:tmpl w:val="B02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6"/>
  </w:num>
  <w:num w:numId="3">
    <w:abstractNumId w:val="15"/>
  </w:num>
  <w:num w:numId="4">
    <w:abstractNumId w:val="36"/>
  </w:num>
  <w:num w:numId="5">
    <w:abstractNumId w:val="49"/>
  </w:num>
  <w:num w:numId="6">
    <w:abstractNumId w:val="23"/>
  </w:num>
  <w:num w:numId="7">
    <w:abstractNumId w:val="3"/>
  </w:num>
  <w:num w:numId="8">
    <w:abstractNumId w:val="21"/>
  </w:num>
  <w:num w:numId="9">
    <w:abstractNumId w:val="8"/>
  </w:num>
  <w:num w:numId="10">
    <w:abstractNumId w:val="47"/>
  </w:num>
  <w:num w:numId="11">
    <w:abstractNumId w:val="1"/>
  </w:num>
  <w:num w:numId="12">
    <w:abstractNumId w:val="45"/>
  </w:num>
  <w:num w:numId="13">
    <w:abstractNumId w:val="19"/>
  </w:num>
  <w:num w:numId="14">
    <w:abstractNumId w:val="13"/>
  </w:num>
  <w:num w:numId="15">
    <w:abstractNumId w:val="5"/>
  </w:num>
  <w:num w:numId="16">
    <w:abstractNumId w:val="31"/>
  </w:num>
  <w:num w:numId="17">
    <w:abstractNumId w:val="32"/>
  </w:num>
  <w:num w:numId="18">
    <w:abstractNumId w:val="6"/>
  </w:num>
  <w:num w:numId="19">
    <w:abstractNumId w:val="9"/>
  </w:num>
  <w:num w:numId="20">
    <w:abstractNumId w:val="30"/>
  </w:num>
  <w:num w:numId="21">
    <w:abstractNumId w:val="2"/>
  </w:num>
  <w:num w:numId="22">
    <w:abstractNumId w:val="34"/>
  </w:num>
  <w:num w:numId="23">
    <w:abstractNumId w:val="7"/>
  </w:num>
  <w:num w:numId="24">
    <w:abstractNumId w:val="10"/>
  </w:num>
  <w:num w:numId="25">
    <w:abstractNumId w:val="40"/>
  </w:num>
  <w:num w:numId="26">
    <w:abstractNumId w:val="29"/>
  </w:num>
  <w:num w:numId="27">
    <w:abstractNumId w:val="17"/>
  </w:num>
  <w:num w:numId="28">
    <w:abstractNumId w:val="43"/>
  </w:num>
  <w:num w:numId="29">
    <w:abstractNumId w:val="25"/>
  </w:num>
  <w:num w:numId="30">
    <w:abstractNumId w:val="33"/>
  </w:num>
  <w:num w:numId="31">
    <w:abstractNumId w:val="24"/>
  </w:num>
  <w:num w:numId="32">
    <w:abstractNumId w:val="42"/>
  </w:num>
  <w:num w:numId="33">
    <w:abstractNumId w:val="26"/>
  </w:num>
  <w:num w:numId="34">
    <w:abstractNumId w:val="18"/>
  </w:num>
  <w:num w:numId="35">
    <w:abstractNumId w:val="11"/>
  </w:num>
  <w:num w:numId="36">
    <w:abstractNumId w:val="16"/>
  </w:num>
  <w:num w:numId="37">
    <w:abstractNumId w:val="14"/>
  </w:num>
  <w:num w:numId="38">
    <w:abstractNumId w:val="0"/>
  </w:num>
  <w:num w:numId="39">
    <w:abstractNumId w:val="41"/>
  </w:num>
  <w:num w:numId="40">
    <w:abstractNumId w:val="39"/>
  </w:num>
  <w:num w:numId="41">
    <w:abstractNumId w:val="22"/>
  </w:num>
  <w:num w:numId="42">
    <w:abstractNumId w:val="4"/>
  </w:num>
  <w:num w:numId="43">
    <w:abstractNumId w:val="28"/>
  </w:num>
  <w:num w:numId="44">
    <w:abstractNumId w:val="38"/>
  </w:num>
  <w:num w:numId="45">
    <w:abstractNumId w:val="20"/>
  </w:num>
  <w:num w:numId="46">
    <w:abstractNumId w:val="27"/>
  </w:num>
  <w:num w:numId="47">
    <w:abstractNumId w:val="12"/>
  </w:num>
  <w:num w:numId="48">
    <w:abstractNumId w:val="48"/>
  </w:num>
  <w:num w:numId="49">
    <w:abstractNumId w:val="37"/>
  </w:num>
  <w:num w:numId="50">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277E"/>
    <w:rsid w:val="00002DF1"/>
    <w:rsid w:val="000036B3"/>
    <w:rsid w:val="0000715C"/>
    <w:rsid w:val="00010570"/>
    <w:rsid w:val="00010693"/>
    <w:rsid w:val="00011F68"/>
    <w:rsid w:val="00013255"/>
    <w:rsid w:val="00013648"/>
    <w:rsid w:val="0001532D"/>
    <w:rsid w:val="00015DE5"/>
    <w:rsid w:val="00016737"/>
    <w:rsid w:val="00020904"/>
    <w:rsid w:val="00021AFC"/>
    <w:rsid w:val="0002383F"/>
    <w:rsid w:val="00024C8E"/>
    <w:rsid w:val="00025121"/>
    <w:rsid w:val="00025CB5"/>
    <w:rsid w:val="000269BD"/>
    <w:rsid w:val="00026F3F"/>
    <w:rsid w:val="000272A1"/>
    <w:rsid w:val="00032D27"/>
    <w:rsid w:val="0003370B"/>
    <w:rsid w:val="0003521A"/>
    <w:rsid w:val="0003555D"/>
    <w:rsid w:val="00037A96"/>
    <w:rsid w:val="000403EB"/>
    <w:rsid w:val="0004050A"/>
    <w:rsid w:val="00040D76"/>
    <w:rsid w:val="0004103B"/>
    <w:rsid w:val="00043C4B"/>
    <w:rsid w:val="00044042"/>
    <w:rsid w:val="00045853"/>
    <w:rsid w:val="00047E16"/>
    <w:rsid w:val="00050103"/>
    <w:rsid w:val="00050762"/>
    <w:rsid w:val="0005123C"/>
    <w:rsid w:val="00051FDB"/>
    <w:rsid w:val="00052040"/>
    <w:rsid w:val="00052E02"/>
    <w:rsid w:val="00056386"/>
    <w:rsid w:val="00057F4A"/>
    <w:rsid w:val="00062627"/>
    <w:rsid w:val="00062D0D"/>
    <w:rsid w:val="00065082"/>
    <w:rsid w:val="000659C2"/>
    <w:rsid w:val="000705B6"/>
    <w:rsid w:val="00071D10"/>
    <w:rsid w:val="00072900"/>
    <w:rsid w:val="00073C3C"/>
    <w:rsid w:val="000741D4"/>
    <w:rsid w:val="00074AB4"/>
    <w:rsid w:val="00075009"/>
    <w:rsid w:val="00075D46"/>
    <w:rsid w:val="00077E23"/>
    <w:rsid w:val="00081B36"/>
    <w:rsid w:val="00081DF8"/>
    <w:rsid w:val="000827F9"/>
    <w:rsid w:val="00085578"/>
    <w:rsid w:val="0008622A"/>
    <w:rsid w:val="0008641C"/>
    <w:rsid w:val="000867CA"/>
    <w:rsid w:val="00087D92"/>
    <w:rsid w:val="00091773"/>
    <w:rsid w:val="00091A9E"/>
    <w:rsid w:val="00092FF8"/>
    <w:rsid w:val="00094B06"/>
    <w:rsid w:val="00094EF8"/>
    <w:rsid w:val="000A04AE"/>
    <w:rsid w:val="000A1AB6"/>
    <w:rsid w:val="000A4180"/>
    <w:rsid w:val="000A6513"/>
    <w:rsid w:val="000A7B59"/>
    <w:rsid w:val="000B3971"/>
    <w:rsid w:val="000B5F66"/>
    <w:rsid w:val="000C05D9"/>
    <w:rsid w:val="000C1623"/>
    <w:rsid w:val="000C3967"/>
    <w:rsid w:val="000C39DD"/>
    <w:rsid w:val="000C5794"/>
    <w:rsid w:val="000C65D7"/>
    <w:rsid w:val="000C72AB"/>
    <w:rsid w:val="000C7C3C"/>
    <w:rsid w:val="000D3EB3"/>
    <w:rsid w:val="000D5091"/>
    <w:rsid w:val="000D5C48"/>
    <w:rsid w:val="000D78FB"/>
    <w:rsid w:val="000E3F61"/>
    <w:rsid w:val="000F0589"/>
    <w:rsid w:val="000F1063"/>
    <w:rsid w:val="000F2C0A"/>
    <w:rsid w:val="000F39CE"/>
    <w:rsid w:val="000F4E47"/>
    <w:rsid w:val="000F582A"/>
    <w:rsid w:val="000F64BD"/>
    <w:rsid w:val="000F7CE9"/>
    <w:rsid w:val="00101B06"/>
    <w:rsid w:val="00105028"/>
    <w:rsid w:val="001069B7"/>
    <w:rsid w:val="00113183"/>
    <w:rsid w:val="00113A84"/>
    <w:rsid w:val="0012049C"/>
    <w:rsid w:val="0012551D"/>
    <w:rsid w:val="00126EFB"/>
    <w:rsid w:val="001331D7"/>
    <w:rsid w:val="00133A3B"/>
    <w:rsid w:val="0013460E"/>
    <w:rsid w:val="001401C3"/>
    <w:rsid w:val="001406A4"/>
    <w:rsid w:val="00143583"/>
    <w:rsid w:val="00143748"/>
    <w:rsid w:val="00143B38"/>
    <w:rsid w:val="001528B0"/>
    <w:rsid w:val="00152AED"/>
    <w:rsid w:val="00152BE6"/>
    <w:rsid w:val="00154E06"/>
    <w:rsid w:val="001553F1"/>
    <w:rsid w:val="0015590A"/>
    <w:rsid w:val="0015610D"/>
    <w:rsid w:val="001571C3"/>
    <w:rsid w:val="0015722D"/>
    <w:rsid w:val="00160177"/>
    <w:rsid w:val="001622F1"/>
    <w:rsid w:val="00162C23"/>
    <w:rsid w:val="00163320"/>
    <w:rsid w:val="001737B1"/>
    <w:rsid w:val="00175C6D"/>
    <w:rsid w:val="00177407"/>
    <w:rsid w:val="00181F6C"/>
    <w:rsid w:val="00182B86"/>
    <w:rsid w:val="00186623"/>
    <w:rsid w:val="0019024C"/>
    <w:rsid w:val="00191A90"/>
    <w:rsid w:val="00192DFA"/>
    <w:rsid w:val="00193B90"/>
    <w:rsid w:val="0019608D"/>
    <w:rsid w:val="00196308"/>
    <w:rsid w:val="00196C7C"/>
    <w:rsid w:val="00197DB9"/>
    <w:rsid w:val="001A3A8A"/>
    <w:rsid w:val="001A6DC1"/>
    <w:rsid w:val="001A752B"/>
    <w:rsid w:val="001B1BB1"/>
    <w:rsid w:val="001B23AD"/>
    <w:rsid w:val="001B3CF9"/>
    <w:rsid w:val="001B43AB"/>
    <w:rsid w:val="001B5955"/>
    <w:rsid w:val="001B5CF8"/>
    <w:rsid w:val="001C0383"/>
    <w:rsid w:val="001C1CE6"/>
    <w:rsid w:val="001C50A6"/>
    <w:rsid w:val="001C5B0B"/>
    <w:rsid w:val="001C5F45"/>
    <w:rsid w:val="001D19E1"/>
    <w:rsid w:val="001D1CAA"/>
    <w:rsid w:val="001D2659"/>
    <w:rsid w:val="001D2962"/>
    <w:rsid w:val="001D34CE"/>
    <w:rsid w:val="001D36DC"/>
    <w:rsid w:val="001D4382"/>
    <w:rsid w:val="001D4B87"/>
    <w:rsid w:val="001D4E74"/>
    <w:rsid w:val="001D6842"/>
    <w:rsid w:val="001D7A77"/>
    <w:rsid w:val="001E01D9"/>
    <w:rsid w:val="001E03C6"/>
    <w:rsid w:val="001E06DF"/>
    <w:rsid w:val="001E17F8"/>
    <w:rsid w:val="001E4F31"/>
    <w:rsid w:val="001E60E1"/>
    <w:rsid w:val="001E73DC"/>
    <w:rsid w:val="001F0D4E"/>
    <w:rsid w:val="001F2180"/>
    <w:rsid w:val="001F2214"/>
    <w:rsid w:val="001F260B"/>
    <w:rsid w:val="001F2DE5"/>
    <w:rsid w:val="001F5066"/>
    <w:rsid w:val="001F73A1"/>
    <w:rsid w:val="001F7CEB"/>
    <w:rsid w:val="002003DF"/>
    <w:rsid w:val="00202849"/>
    <w:rsid w:val="00203940"/>
    <w:rsid w:val="0020537A"/>
    <w:rsid w:val="00206127"/>
    <w:rsid w:val="00206164"/>
    <w:rsid w:val="00206B59"/>
    <w:rsid w:val="00207140"/>
    <w:rsid w:val="002071BE"/>
    <w:rsid w:val="00212C48"/>
    <w:rsid w:val="00213335"/>
    <w:rsid w:val="0021440F"/>
    <w:rsid w:val="002155FE"/>
    <w:rsid w:val="00215946"/>
    <w:rsid w:val="00216239"/>
    <w:rsid w:val="00220DA3"/>
    <w:rsid w:val="0022134D"/>
    <w:rsid w:val="00221A4B"/>
    <w:rsid w:val="00222ADF"/>
    <w:rsid w:val="00223C45"/>
    <w:rsid w:val="0022738C"/>
    <w:rsid w:val="00230557"/>
    <w:rsid w:val="00232AC1"/>
    <w:rsid w:val="002366B6"/>
    <w:rsid w:val="002439E1"/>
    <w:rsid w:val="0024450B"/>
    <w:rsid w:val="00247860"/>
    <w:rsid w:val="002479BB"/>
    <w:rsid w:val="00247F2E"/>
    <w:rsid w:val="00252D86"/>
    <w:rsid w:val="0025567F"/>
    <w:rsid w:val="00255858"/>
    <w:rsid w:val="00260AB0"/>
    <w:rsid w:val="0026268C"/>
    <w:rsid w:val="00262800"/>
    <w:rsid w:val="0026349E"/>
    <w:rsid w:val="0026418C"/>
    <w:rsid w:val="00264313"/>
    <w:rsid w:val="00265134"/>
    <w:rsid w:val="00265A95"/>
    <w:rsid w:val="00267632"/>
    <w:rsid w:val="00271533"/>
    <w:rsid w:val="0027153D"/>
    <w:rsid w:val="002728A0"/>
    <w:rsid w:val="002735D9"/>
    <w:rsid w:val="00273F8F"/>
    <w:rsid w:val="002749FB"/>
    <w:rsid w:val="00277053"/>
    <w:rsid w:val="002801A5"/>
    <w:rsid w:val="00280AD3"/>
    <w:rsid w:val="00281F58"/>
    <w:rsid w:val="00283287"/>
    <w:rsid w:val="00283F24"/>
    <w:rsid w:val="00284240"/>
    <w:rsid w:val="00286B17"/>
    <w:rsid w:val="00290E60"/>
    <w:rsid w:val="00292949"/>
    <w:rsid w:val="002934B9"/>
    <w:rsid w:val="002952F4"/>
    <w:rsid w:val="00295E7F"/>
    <w:rsid w:val="0029761F"/>
    <w:rsid w:val="002A367C"/>
    <w:rsid w:val="002A5435"/>
    <w:rsid w:val="002A7676"/>
    <w:rsid w:val="002B0F64"/>
    <w:rsid w:val="002B1332"/>
    <w:rsid w:val="002B174C"/>
    <w:rsid w:val="002B1999"/>
    <w:rsid w:val="002B1BD0"/>
    <w:rsid w:val="002B27A4"/>
    <w:rsid w:val="002B3CA2"/>
    <w:rsid w:val="002B7B8B"/>
    <w:rsid w:val="002C012C"/>
    <w:rsid w:val="002C03DC"/>
    <w:rsid w:val="002C04B3"/>
    <w:rsid w:val="002C2211"/>
    <w:rsid w:val="002C2368"/>
    <w:rsid w:val="002C3CD3"/>
    <w:rsid w:val="002C5728"/>
    <w:rsid w:val="002C597A"/>
    <w:rsid w:val="002D0509"/>
    <w:rsid w:val="002D0998"/>
    <w:rsid w:val="002D11B8"/>
    <w:rsid w:val="002D3620"/>
    <w:rsid w:val="002D415E"/>
    <w:rsid w:val="002D4420"/>
    <w:rsid w:val="002D6E19"/>
    <w:rsid w:val="002E1F2F"/>
    <w:rsid w:val="002E2386"/>
    <w:rsid w:val="002E2B90"/>
    <w:rsid w:val="002E3461"/>
    <w:rsid w:val="002E4269"/>
    <w:rsid w:val="002E49A0"/>
    <w:rsid w:val="002F421F"/>
    <w:rsid w:val="002F589F"/>
    <w:rsid w:val="002F5964"/>
    <w:rsid w:val="002F59BE"/>
    <w:rsid w:val="002F65E6"/>
    <w:rsid w:val="0030021B"/>
    <w:rsid w:val="0030082A"/>
    <w:rsid w:val="0030104C"/>
    <w:rsid w:val="0030204E"/>
    <w:rsid w:val="003045D8"/>
    <w:rsid w:val="003062C8"/>
    <w:rsid w:val="00307B85"/>
    <w:rsid w:val="00310A36"/>
    <w:rsid w:val="00317C42"/>
    <w:rsid w:val="00323683"/>
    <w:rsid w:val="00324D56"/>
    <w:rsid w:val="00326275"/>
    <w:rsid w:val="0033098B"/>
    <w:rsid w:val="00330E94"/>
    <w:rsid w:val="00331900"/>
    <w:rsid w:val="00332261"/>
    <w:rsid w:val="003358B1"/>
    <w:rsid w:val="003366B1"/>
    <w:rsid w:val="003367C7"/>
    <w:rsid w:val="00336FB2"/>
    <w:rsid w:val="0034075F"/>
    <w:rsid w:val="00340D72"/>
    <w:rsid w:val="003415EB"/>
    <w:rsid w:val="00341C4C"/>
    <w:rsid w:val="00343965"/>
    <w:rsid w:val="003441BA"/>
    <w:rsid w:val="00344867"/>
    <w:rsid w:val="00344D43"/>
    <w:rsid w:val="003455ED"/>
    <w:rsid w:val="003471E8"/>
    <w:rsid w:val="003519C9"/>
    <w:rsid w:val="00352E69"/>
    <w:rsid w:val="003533FE"/>
    <w:rsid w:val="00353E97"/>
    <w:rsid w:val="003556E5"/>
    <w:rsid w:val="00355A7F"/>
    <w:rsid w:val="003617DF"/>
    <w:rsid w:val="00364807"/>
    <w:rsid w:val="0036711D"/>
    <w:rsid w:val="003676CE"/>
    <w:rsid w:val="00367E0E"/>
    <w:rsid w:val="00370B3A"/>
    <w:rsid w:val="0037135A"/>
    <w:rsid w:val="00372254"/>
    <w:rsid w:val="003732EA"/>
    <w:rsid w:val="0037380B"/>
    <w:rsid w:val="00373D2E"/>
    <w:rsid w:val="00376062"/>
    <w:rsid w:val="0037735A"/>
    <w:rsid w:val="00381656"/>
    <w:rsid w:val="00381AC7"/>
    <w:rsid w:val="00384522"/>
    <w:rsid w:val="00384C7F"/>
    <w:rsid w:val="00384F20"/>
    <w:rsid w:val="003854A8"/>
    <w:rsid w:val="00393FD4"/>
    <w:rsid w:val="00394D00"/>
    <w:rsid w:val="00395374"/>
    <w:rsid w:val="0039587B"/>
    <w:rsid w:val="00396847"/>
    <w:rsid w:val="003A03C6"/>
    <w:rsid w:val="003A0F9C"/>
    <w:rsid w:val="003A1282"/>
    <w:rsid w:val="003A2182"/>
    <w:rsid w:val="003A5D12"/>
    <w:rsid w:val="003A699E"/>
    <w:rsid w:val="003A6E0D"/>
    <w:rsid w:val="003B59D5"/>
    <w:rsid w:val="003B6162"/>
    <w:rsid w:val="003C0606"/>
    <w:rsid w:val="003C6234"/>
    <w:rsid w:val="003D070E"/>
    <w:rsid w:val="003D225E"/>
    <w:rsid w:val="003D2A66"/>
    <w:rsid w:val="003D2FAF"/>
    <w:rsid w:val="003D35E2"/>
    <w:rsid w:val="003D3AAC"/>
    <w:rsid w:val="003D5502"/>
    <w:rsid w:val="003D60A3"/>
    <w:rsid w:val="003D6EC8"/>
    <w:rsid w:val="003E0EB2"/>
    <w:rsid w:val="003E5C6E"/>
    <w:rsid w:val="003E73AC"/>
    <w:rsid w:val="003E7E34"/>
    <w:rsid w:val="003F0FBE"/>
    <w:rsid w:val="003F283A"/>
    <w:rsid w:val="003F4404"/>
    <w:rsid w:val="003F463E"/>
    <w:rsid w:val="003F4B28"/>
    <w:rsid w:val="003F5C18"/>
    <w:rsid w:val="003F7E5E"/>
    <w:rsid w:val="003F7ED8"/>
    <w:rsid w:val="004000CD"/>
    <w:rsid w:val="00400282"/>
    <w:rsid w:val="00401D68"/>
    <w:rsid w:val="0040572D"/>
    <w:rsid w:val="00406A48"/>
    <w:rsid w:val="00410351"/>
    <w:rsid w:val="00411A97"/>
    <w:rsid w:val="004122A8"/>
    <w:rsid w:val="00412ED9"/>
    <w:rsid w:val="00412F28"/>
    <w:rsid w:val="004131F4"/>
    <w:rsid w:val="00415DC5"/>
    <w:rsid w:val="00415E1F"/>
    <w:rsid w:val="00416ECA"/>
    <w:rsid w:val="004172EC"/>
    <w:rsid w:val="00420534"/>
    <w:rsid w:val="00421FA1"/>
    <w:rsid w:val="00424440"/>
    <w:rsid w:val="00424822"/>
    <w:rsid w:val="00424B11"/>
    <w:rsid w:val="00424D08"/>
    <w:rsid w:val="00424F12"/>
    <w:rsid w:val="00424F78"/>
    <w:rsid w:val="00425B52"/>
    <w:rsid w:val="00430375"/>
    <w:rsid w:val="00430FD1"/>
    <w:rsid w:val="004349E9"/>
    <w:rsid w:val="00434EEB"/>
    <w:rsid w:val="00434F1B"/>
    <w:rsid w:val="00442B31"/>
    <w:rsid w:val="004434FF"/>
    <w:rsid w:val="00444E64"/>
    <w:rsid w:val="0044542B"/>
    <w:rsid w:val="00445699"/>
    <w:rsid w:val="004459B6"/>
    <w:rsid w:val="00445A31"/>
    <w:rsid w:val="00445CBB"/>
    <w:rsid w:val="004465B5"/>
    <w:rsid w:val="004473B0"/>
    <w:rsid w:val="004518FF"/>
    <w:rsid w:val="004521D6"/>
    <w:rsid w:val="00452C76"/>
    <w:rsid w:val="00454C90"/>
    <w:rsid w:val="0045538F"/>
    <w:rsid w:val="00456139"/>
    <w:rsid w:val="0046087D"/>
    <w:rsid w:val="00462813"/>
    <w:rsid w:val="00463B15"/>
    <w:rsid w:val="00464149"/>
    <w:rsid w:val="00466489"/>
    <w:rsid w:val="00467968"/>
    <w:rsid w:val="00467D73"/>
    <w:rsid w:val="00471EBE"/>
    <w:rsid w:val="00471F9B"/>
    <w:rsid w:val="00473C77"/>
    <w:rsid w:val="00474C31"/>
    <w:rsid w:val="00474C9F"/>
    <w:rsid w:val="00475D62"/>
    <w:rsid w:val="00476A20"/>
    <w:rsid w:val="00477645"/>
    <w:rsid w:val="0048170C"/>
    <w:rsid w:val="004822AF"/>
    <w:rsid w:val="00483058"/>
    <w:rsid w:val="00483907"/>
    <w:rsid w:val="00485454"/>
    <w:rsid w:val="00485ED3"/>
    <w:rsid w:val="00487330"/>
    <w:rsid w:val="0048780F"/>
    <w:rsid w:val="00487F2F"/>
    <w:rsid w:val="00491329"/>
    <w:rsid w:val="00491EF7"/>
    <w:rsid w:val="004922DD"/>
    <w:rsid w:val="0049484B"/>
    <w:rsid w:val="00494B64"/>
    <w:rsid w:val="00497D2C"/>
    <w:rsid w:val="004A01AF"/>
    <w:rsid w:val="004A04FD"/>
    <w:rsid w:val="004A0975"/>
    <w:rsid w:val="004A134F"/>
    <w:rsid w:val="004A43D7"/>
    <w:rsid w:val="004A5820"/>
    <w:rsid w:val="004A5BDC"/>
    <w:rsid w:val="004A6629"/>
    <w:rsid w:val="004A6EC3"/>
    <w:rsid w:val="004A774A"/>
    <w:rsid w:val="004A7E9F"/>
    <w:rsid w:val="004B1852"/>
    <w:rsid w:val="004B3641"/>
    <w:rsid w:val="004B3F6D"/>
    <w:rsid w:val="004B6EA5"/>
    <w:rsid w:val="004B74AD"/>
    <w:rsid w:val="004B7938"/>
    <w:rsid w:val="004C12C2"/>
    <w:rsid w:val="004C1348"/>
    <w:rsid w:val="004C46C4"/>
    <w:rsid w:val="004C5A76"/>
    <w:rsid w:val="004C6280"/>
    <w:rsid w:val="004C776B"/>
    <w:rsid w:val="004D01F7"/>
    <w:rsid w:val="004D1E0F"/>
    <w:rsid w:val="004D2B22"/>
    <w:rsid w:val="004D65B9"/>
    <w:rsid w:val="004D7DF3"/>
    <w:rsid w:val="004E32C3"/>
    <w:rsid w:val="004E367A"/>
    <w:rsid w:val="004E5811"/>
    <w:rsid w:val="004E58D8"/>
    <w:rsid w:val="004E5D6E"/>
    <w:rsid w:val="004E5EC4"/>
    <w:rsid w:val="004E66DC"/>
    <w:rsid w:val="004E72F2"/>
    <w:rsid w:val="004F0240"/>
    <w:rsid w:val="004F08F5"/>
    <w:rsid w:val="004F0F5C"/>
    <w:rsid w:val="004F23C3"/>
    <w:rsid w:val="004F2ECD"/>
    <w:rsid w:val="004F366F"/>
    <w:rsid w:val="004F6ABB"/>
    <w:rsid w:val="004F6D0E"/>
    <w:rsid w:val="004F7924"/>
    <w:rsid w:val="004F7C78"/>
    <w:rsid w:val="00502F71"/>
    <w:rsid w:val="00503094"/>
    <w:rsid w:val="005031C3"/>
    <w:rsid w:val="005032D1"/>
    <w:rsid w:val="00504BA2"/>
    <w:rsid w:val="005076F1"/>
    <w:rsid w:val="005106BB"/>
    <w:rsid w:val="005121A8"/>
    <w:rsid w:val="00513ABC"/>
    <w:rsid w:val="00513E7E"/>
    <w:rsid w:val="005144FE"/>
    <w:rsid w:val="0052039F"/>
    <w:rsid w:val="00522DE2"/>
    <w:rsid w:val="005273E3"/>
    <w:rsid w:val="00527D95"/>
    <w:rsid w:val="00534D0E"/>
    <w:rsid w:val="00535781"/>
    <w:rsid w:val="0054046F"/>
    <w:rsid w:val="00540E21"/>
    <w:rsid w:val="005419F4"/>
    <w:rsid w:val="005429D8"/>
    <w:rsid w:val="00544F58"/>
    <w:rsid w:val="0054558B"/>
    <w:rsid w:val="00545C08"/>
    <w:rsid w:val="00546CE4"/>
    <w:rsid w:val="005472BD"/>
    <w:rsid w:val="0054CE39"/>
    <w:rsid w:val="00552251"/>
    <w:rsid w:val="005529A5"/>
    <w:rsid w:val="00553980"/>
    <w:rsid w:val="00553F9D"/>
    <w:rsid w:val="00556C6E"/>
    <w:rsid w:val="00557F3D"/>
    <w:rsid w:val="005605D0"/>
    <w:rsid w:val="00560809"/>
    <w:rsid w:val="005609A3"/>
    <w:rsid w:val="0056177B"/>
    <w:rsid w:val="00561872"/>
    <w:rsid w:val="005636F1"/>
    <w:rsid w:val="00564807"/>
    <w:rsid w:val="00565C49"/>
    <w:rsid w:val="005662C4"/>
    <w:rsid w:val="00566C38"/>
    <w:rsid w:val="00567E31"/>
    <w:rsid w:val="00570301"/>
    <w:rsid w:val="00571175"/>
    <w:rsid w:val="00571927"/>
    <w:rsid w:val="005719D7"/>
    <w:rsid w:val="00572433"/>
    <w:rsid w:val="0057274E"/>
    <w:rsid w:val="0057408F"/>
    <w:rsid w:val="005765B2"/>
    <w:rsid w:val="005806F0"/>
    <w:rsid w:val="00580764"/>
    <w:rsid w:val="00580949"/>
    <w:rsid w:val="005828B1"/>
    <w:rsid w:val="00583B37"/>
    <w:rsid w:val="00583E14"/>
    <w:rsid w:val="00586274"/>
    <w:rsid w:val="00586FE5"/>
    <w:rsid w:val="00594D3C"/>
    <w:rsid w:val="00595DC4"/>
    <w:rsid w:val="00595F7A"/>
    <w:rsid w:val="00596EC8"/>
    <w:rsid w:val="005A0028"/>
    <w:rsid w:val="005A04B6"/>
    <w:rsid w:val="005A0521"/>
    <w:rsid w:val="005A3DD5"/>
    <w:rsid w:val="005A54E5"/>
    <w:rsid w:val="005A5C23"/>
    <w:rsid w:val="005A7D20"/>
    <w:rsid w:val="005B034F"/>
    <w:rsid w:val="005B0A45"/>
    <w:rsid w:val="005B4C16"/>
    <w:rsid w:val="005B5369"/>
    <w:rsid w:val="005B5778"/>
    <w:rsid w:val="005B6EEA"/>
    <w:rsid w:val="005B7D20"/>
    <w:rsid w:val="005C27CD"/>
    <w:rsid w:val="005C3802"/>
    <w:rsid w:val="005C46C2"/>
    <w:rsid w:val="005C510A"/>
    <w:rsid w:val="005C63F9"/>
    <w:rsid w:val="005C65B5"/>
    <w:rsid w:val="005C7E63"/>
    <w:rsid w:val="005D1CC0"/>
    <w:rsid w:val="005D37A3"/>
    <w:rsid w:val="005D54CA"/>
    <w:rsid w:val="005D6954"/>
    <w:rsid w:val="005D6F1F"/>
    <w:rsid w:val="005D7694"/>
    <w:rsid w:val="005E05F6"/>
    <w:rsid w:val="005E066E"/>
    <w:rsid w:val="005E2084"/>
    <w:rsid w:val="005E359A"/>
    <w:rsid w:val="005E3F01"/>
    <w:rsid w:val="005E4F2F"/>
    <w:rsid w:val="005E6AF6"/>
    <w:rsid w:val="005E6CD9"/>
    <w:rsid w:val="005F0061"/>
    <w:rsid w:val="005F22A6"/>
    <w:rsid w:val="005F3BEE"/>
    <w:rsid w:val="005F41DA"/>
    <w:rsid w:val="005F4502"/>
    <w:rsid w:val="005F6F6A"/>
    <w:rsid w:val="005F7E2F"/>
    <w:rsid w:val="006006E7"/>
    <w:rsid w:val="00602A3E"/>
    <w:rsid w:val="006039D8"/>
    <w:rsid w:val="00603ADC"/>
    <w:rsid w:val="00604C64"/>
    <w:rsid w:val="006051A2"/>
    <w:rsid w:val="00605367"/>
    <w:rsid w:val="0060655A"/>
    <w:rsid w:val="006065AE"/>
    <w:rsid w:val="00606FBE"/>
    <w:rsid w:val="006074C6"/>
    <w:rsid w:val="006103CE"/>
    <w:rsid w:val="006103F5"/>
    <w:rsid w:val="00611346"/>
    <w:rsid w:val="0061429D"/>
    <w:rsid w:val="00614F25"/>
    <w:rsid w:val="006165F4"/>
    <w:rsid w:val="00622ED6"/>
    <w:rsid w:val="0062433A"/>
    <w:rsid w:val="00627650"/>
    <w:rsid w:val="00630387"/>
    <w:rsid w:val="00631EED"/>
    <w:rsid w:val="00633311"/>
    <w:rsid w:val="00633C08"/>
    <w:rsid w:val="00635613"/>
    <w:rsid w:val="006358ED"/>
    <w:rsid w:val="00637139"/>
    <w:rsid w:val="00637BE3"/>
    <w:rsid w:val="006405F8"/>
    <w:rsid w:val="00641EB0"/>
    <w:rsid w:val="00642501"/>
    <w:rsid w:val="00642B5C"/>
    <w:rsid w:val="00644D06"/>
    <w:rsid w:val="00647638"/>
    <w:rsid w:val="00651ACF"/>
    <w:rsid w:val="00652C35"/>
    <w:rsid w:val="0065683F"/>
    <w:rsid w:val="00660379"/>
    <w:rsid w:val="006618FE"/>
    <w:rsid w:val="00662797"/>
    <w:rsid w:val="0066344C"/>
    <w:rsid w:val="006635E5"/>
    <w:rsid w:val="00663DA3"/>
    <w:rsid w:val="006641A9"/>
    <w:rsid w:val="006641D7"/>
    <w:rsid w:val="006655C1"/>
    <w:rsid w:val="00665FA6"/>
    <w:rsid w:val="0067044F"/>
    <w:rsid w:val="00670EE9"/>
    <w:rsid w:val="00671FEA"/>
    <w:rsid w:val="00672F40"/>
    <w:rsid w:val="006731D7"/>
    <w:rsid w:val="00677FBF"/>
    <w:rsid w:val="0068431C"/>
    <w:rsid w:val="00684386"/>
    <w:rsid w:val="0068628D"/>
    <w:rsid w:val="00686431"/>
    <w:rsid w:val="00687B07"/>
    <w:rsid w:val="0069186C"/>
    <w:rsid w:val="00696157"/>
    <w:rsid w:val="006965AD"/>
    <w:rsid w:val="006A15D5"/>
    <w:rsid w:val="006A207D"/>
    <w:rsid w:val="006A2597"/>
    <w:rsid w:val="006A2AF6"/>
    <w:rsid w:val="006A3209"/>
    <w:rsid w:val="006A3616"/>
    <w:rsid w:val="006A5D20"/>
    <w:rsid w:val="006A7003"/>
    <w:rsid w:val="006A7006"/>
    <w:rsid w:val="006A731F"/>
    <w:rsid w:val="006A78D3"/>
    <w:rsid w:val="006A7E21"/>
    <w:rsid w:val="006B15D3"/>
    <w:rsid w:val="006B179E"/>
    <w:rsid w:val="006B2E07"/>
    <w:rsid w:val="006B579B"/>
    <w:rsid w:val="006B7B57"/>
    <w:rsid w:val="006C05C6"/>
    <w:rsid w:val="006C0B53"/>
    <w:rsid w:val="006C2570"/>
    <w:rsid w:val="006C2B3D"/>
    <w:rsid w:val="006C5044"/>
    <w:rsid w:val="006C5622"/>
    <w:rsid w:val="006C56DC"/>
    <w:rsid w:val="006C5BD7"/>
    <w:rsid w:val="006C736B"/>
    <w:rsid w:val="006D01CB"/>
    <w:rsid w:val="006D1491"/>
    <w:rsid w:val="006D2451"/>
    <w:rsid w:val="006D266A"/>
    <w:rsid w:val="006D4134"/>
    <w:rsid w:val="006D42B2"/>
    <w:rsid w:val="006D46C9"/>
    <w:rsid w:val="006D4EEA"/>
    <w:rsid w:val="006D5271"/>
    <w:rsid w:val="006E035E"/>
    <w:rsid w:val="006E0B5C"/>
    <w:rsid w:val="006E0C0B"/>
    <w:rsid w:val="006E1C7E"/>
    <w:rsid w:val="006E232B"/>
    <w:rsid w:val="006E3182"/>
    <w:rsid w:val="006E3BA0"/>
    <w:rsid w:val="006E3F69"/>
    <w:rsid w:val="006E4FB8"/>
    <w:rsid w:val="006E6FEE"/>
    <w:rsid w:val="006E7A56"/>
    <w:rsid w:val="006E7B8B"/>
    <w:rsid w:val="006F0C7F"/>
    <w:rsid w:val="006F40FF"/>
    <w:rsid w:val="006F7104"/>
    <w:rsid w:val="006F7718"/>
    <w:rsid w:val="00703A5D"/>
    <w:rsid w:val="007058F5"/>
    <w:rsid w:val="007104F6"/>
    <w:rsid w:val="00710BC8"/>
    <w:rsid w:val="007111D4"/>
    <w:rsid w:val="00712071"/>
    <w:rsid w:val="00712D45"/>
    <w:rsid w:val="00714D8C"/>
    <w:rsid w:val="007154C3"/>
    <w:rsid w:val="00716424"/>
    <w:rsid w:val="007222CB"/>
    <w:rsid w:val="00722AA0"/>
    <w:rsid w:val="00723354"/>
    <w:rsid w:val="0072489E"/>
    <w:rsid w:val="00724B3B"/>
    <w:rsid w:val="00725D01"/>
    <w:rsid w:val="0072615D"/>
    <w:rsid w:val="00727BE4"/>
    <w:rsid w:val="00730032"/>
    <w:rsid w:val="007304BF"/>
    <w:rsid w:val="00730928"/>
    <w:rsid w:val="00731087"/>
    <w:rsid w:val="0073138D"/>
    <w:rsid w:val="00732415"/>
    <w:rsid w:val="00733ED3"/>
    <w:rsid w:val="00734AD4"/>
    <w:rsid w:val="0074157B"/>
    <w:rsid w:val="00741F87"/>
    <w:rsid w:val="0074241D"/>
    <w:rsid w:val="0074523B"/>
    <w:rsid w:val="00752C3D"/>
    <w:rsid w:val="00755052"/>
    <w:rsid w:val="00756803"/>
    <w:rsid w:val="00756AC8"/>
    <w:rsid w:val="00762FF6"/>
    <w:rsid w:val="007636F7"/>
    <w:rsid w:val="00766384"/>
    <w:rsid w:val="00767082"/>
    <w:rsid w:val="00767D4A"/>
    <w:rsid w:val="0077390D"/>
    <w:rsid w:val="00773D58"/>
    <w:rsid w:val="007755EC"/>
    <w:rsid w:val="00776305"/>
    <w:rsid w:val="0077675C"/>
    <w:rsid w:val="00776CF8"/>
    <w:rsid w:val="007775EE"/>
    <w:rsid w:val="00780B0E"/>
    <w:rsid w:val="00780DF9"/>
    <w:rsid w:val="007815B7"/>
    <w:rsid w:val="00785E57"/>
    <w:rsid w:val="0078649C"/>
    <w:rsid w:val="00786A80"/>
    <w:rsid w:val="0079081C"/>
    <w:rsid w:val="00792842"/>
    <w:rsid w:val="0079366F"/>
    <w:rsid w:val="00793CD3"/>
    <w:rsid w:val="00795EA5"/>
    <w:rsid w:val="0079613F"/>
    <w:rsid w:val="00796218"/>
    <w:rsid w:val="00796F13"/>
    <w:rsid w:val="00797845"/>
    <w:rsid w:val="007A02E4"/>
    <w:rsid w:val="007A1B77"/>
    <w:rsid w:val="007A1FDF"/>
    <w:rsid w:val="007A28BD"/>
    <w:rsid w:val="007A351B"/>
    <w:rsid w:val="007A3BB5"/>
    <w:rsid w:val="007A5C72"/>
    <w:rsid w:val="007A655E"/>
    <w:rsid w:val="007B0343"/>
    <w:rsid w:val="007B1E5E"/>
    <w:rsid w:val="007B2166"/>
    <w:rsid w:val="007B2994"/>
    <w:rsid w:val="007B2CCD"/>
    <w:rsid w:val="007B37A2"/>
    <w:rsid w:val="007B3A6C"/>
    <w:rsid w:val="007B3BA8"/>
    <w:rsid w:val="007B3D8F"/>
    <w:rsid w:val="007B52A9"/>
    <w:rsid w:val="007B5FDC"/>
    <w:rsid w:val="007B626A"/>
    <w:rsid w:val="007C1421"/>
    <w:rsid w:val="007C1C29"/>
    <w:rsid w:val="007C200F"/>
    <w:rsid w:val="007C2902"/>
    <w:rsid w:val="007C2F8A"/>
    <w:rsid w:val="007C3E06"/>
    <w:rsid w:val="007C5BD0"/>
    <w:rsid w:val="007C66A6"/>
    <w:rsid w:val="007D0E33"/>
    <w:rsid w:val="007D37DE"/>
    <w:rsid w:val="007D6A15"/>
    <w:rsid w:val="007E0083"/>
    <w:rsid w:val="007E0615"/>
    <w:rsid w:val="007E0F06"/>
    <w:rsid w:val="007E187A"/>
    <w:rsid w:val="007E2FF8"/>
    <w:rsid w:val="007E31D2"/>
    <w:rsid w:val="007E32E6"/>
    <w:rsid w:val="007E41E0"/>
    <w:rsid w:val="007E679E"/>
    <w:rsid w:val="007E7823"/>
    <w:rsid w:val="007F05AC"/>
    <w:rsid w:val="007F147D"/>
    <w:rsid w:val="007F15D3"/>
    <w:rsid w:val="007F1F68"/>
    <w:rsid w:val="007F2358"/>
    <w:rsid w:val="007F24D0"/>
    <w:rsid w:val="007F436A"/>
    <w:rsid w:val="007F4B3D"/>
    <w:rsid w:val="007F52FB"/>
    <w:rsid w:val="007F6504"/>
    <w:rsid w:val="007F751D"/>
    <w:rsid w:val="0080080F"/>
    <w:rsid w:val="00801695"/>
    <w:rsid w:val="00801731"/>
    <w:rsid w:val="00801E4B"/>
    <w:rsid w:val="00802958"/>
    <w:rsid w:val="00803C97"/>
    <w:rsid w:val="0080400E"/>
    <w:rsid w:val="00804A2E"/>
    <w:rsid w:val="00805A43"/>
    <w:rsid w:val="00807B7A"/>
    <w:rsid w:val="008115B3"/>
    <w:rsid w:val="00812D26"/>
    <w:rsid w:val="00813F99"/>
    <w:rsid w:val="00816095"/>
    <w:rsid w:val="008166F3"/>
    <w:rsid w:val="00816EB7"/>
    <w:rsid w:val="0081711D"/>
    <w:rsid w:val="00817C2C"/>
    <w:rsid w:val="00822062"/>
    <w:rsid w:val="00822A7A"/>
    <w:rsid w:val="00823EF8"/>
    <w:rsid w:val="00825056"/>
    <w:rsid w:val="00826ECC"/>
    <w:rsid w:val="008306FB"/>
    <w:rsid w:val="008311D2"/>
    <w:rsid w:val="00831946"/>
    <w:rsid w:val="00831D20"/>
    <w:rsid w:val="0083386A"/>
    <w:rsid w:val="00833A4F"/>
    <w:rsid w:val="0083405F"/>
    <w:rsid w:val="008344F7"/>
    <w:rsid w:val="00835207"/>
    <w:rsid w:val="00835688"/>
    <w:rsid w:val="00835735"/>
    <w:rsid w:val="00845139"/>
    <w:rsid w:val="0084589E"/>
    <w:rsid w:val="00845AE9"/>
    <w:rsid w:val="00851065"/>
    <w:rsid w:val="0085168A"/>
    <w:rsid w:val="00852DEC"/>
    <w:rsid w:val="00857192"/>
    <w:rsid w:val="00857F0A"/>
    <w:rsid w:val="00860D82"/>
    <w:rsid w:val="0086109F"/>
    <w:rsid w:val="0086218F"/>
    <w:rsid w:val="00862238"/>
    <w:rsid w:val="00862FE6"/>
    <w:rsid w:val="00866246"/>
    <w:rsid w:val="00867A91"/>
    <w:rsid w:val="00873DB7"/>
    <w:rsid w:val="00875547"/>
    <w:rsid w:val="008765B4"/>
    <w:rsid w:val="0088247B"/>
    <w:rsid w:val="008828AE"/>
    <w:rsid w:val="0088766B"/>
    <w:rsid w:val="008911C0"/>
    <w:rsid w:val="008939E9"/>
    <w:rsid w:val="00894F73"/>
    <w:rsid w:val="00896D41"/>
    <w:rsid w:val="008A06F7"/>
    <w:rsid w:val="008A27A4"/>
    <w:rsid w:val="008A323A"/>
    <w:rsid w:val="008A3C3C"/>
    <w:rsid w:val="008A5C8B"/>
    <w:rsid w:val="008A646B"/>
    <w:rsid w:val="008A7C3B"/>
    <w:rsid w:val="008B1E4B"/>
    <w:rsid w:val="008B2EF8"/>
    <w:rsid w:val="008B34A8"/>
    <w:rsid w:val="008B5E1D"/>
    <w:rsid w:val="008B6EB1"/>
    <w:rsid w:val="008C0054"/>
    <w:rsid w:val="008C13C5"/>
    <w:rsid w:val="008C2EC2"/>
    <w:rsid w:val="008C395D"/>
    <w:rsid w:val="008C46B0"/>
    <w:rsid w:val="008C4E2D"/>
    <w:rsid w:val="008C7068"/>
    <w:rsid w:val="008C7265"/>
    <w:rsid w:val="008C750B"/>
    <w:rsid w:val="008D0A70"/>
    <w:rsid w:val="008D102F"/>
    <w:rsid w:val="008D48F3"/>
    <w:rsid w:val="008D4CA6"/>
    <w:rsid w:val="008D4F02"/>
    <w:rsid w:val="008D58A8"/>
    <w:rsid w:val="008D5C94"/>
    <w:rsid w:val="008D619C"/>
    <w:rsid w:val="008E0464"/>
    <w:rsid w:val="008E165B"/>
    <w:rsid w:val="008E3594"/>
    <w:rsid w:val="008E3D2A"/>
    <w:rsid w:val="008E3F2A"/>
    <w:rsid w:val="008E4C49"/>
    <w:rsid w:val="008E50C4"/>
    <w:rsid w:val="008F024C"/>
    <w:rsid w:val="008F1C95"/>
    <w:rsid w:val="008F1EAE"/>
    <w:rsid w:val="008F211C"/>
    <w:rsid w:val="008F5E7C"/>
    <w:rsid w:val="008F61A0"/>
    <w:rsid w:val="008F67C0"/>
    <w:rsid w:val="008F7DCE"/>
    <w:rsid w:val="00900CAC"/>
    <w:rsid w:val="009021BF"/>
    <w:rsid w:val="00902FEB"/>
    <w:rsid w:val="009101DE"/>
    <w:rsid w:val="00910CAF"/>
    <w:rsid w:val="00911CF7"/>
    <w:rsid w:val="00911D3B"/>
    <w:rsid w:val="00912489"/>
    <w:rsid w:val="009154FC"/>
    <w:rsid w:val="00915847"/>
    <w:rsid w:val="00916092"/>
    <w:rsid w:val="00916219"/>
    <w:rsid w:val="009165C1"/>
    <w:rsid w:val="009201A7"/>
    <w:rsid w:val="009203D5"/>
    <w:rsid w:val="0092165A"/>
    <w:rsid w:val="00924037"/>
    <w:rsid w:val="00924554"/>
    <w:rsid w:val="00925A26"/>
    <w:rsid w:val="00927A79"/>
    <w:rsid w:val="00930E07"/>
    <w:rsid w:val="00932A74"/>
    <w:rsid w:val="00934478"/>
    <w:rsid w:val="0093471A"/>
    <w:rsid w:val="00937159"/>
    <w:rsid w:val="009371F3"/>
    <w:rsid w:val="009374E5"/>
    <w:rsid w:val="009414A8"/>
    <w:rsid w:val="0094175B"/>
    <w:rsid w:val="00944715"/>
    <w:rsid w:val="00946649"/>
    <w:rsid w:val="009506A8"/>
    <w:rsid w:val="00950838"/>
    <w:rsid w:val="00952F56"/>
    <w:rsid w:val="00954784"/>
    <w:rsid w:val="00954D9E"/>
    <w:rsid w:val="00954E6D"/>
    <w:rsid w:val="00955627"/>
    <w:rsid w:val="009557D0"/>
    <w:rsid w:val="00955843"/>
    <w:rsid w:val="00956321"/>
    <w:rsid w:val="0095662A"/>
    <w:rsid w:val="00956ADE"/>
    <w:rsid w:val="009578A0"/>
    <w:rsid w:val="00960A0B"/>
    <w:rsid w:val="00962429"/>
    <w:rsid w:val="0096459C"/>
    <w:rsid w:val="009658BD"/>
    <w:rsid w:val="00966FC1"/>
    <w:rsid w:val="00966FEF"/>
    <w:rsid w:val="00967F54"/>
    <w:rsid w:val="00971030"/>
    <w:rsid w:val="00981455"/>
    <w:rsid w:val="00983A46"/>
    <w:rsid w:val="00984076"/>
    <w:rsid w:val="00984884"/>
    <w:rsid w:val="00985BED"/>
    <w:rsid w:val="00986CAF"/>
    <w:rsid w:val="0098700D"/>
    <w:rsid w:val="00991599"/>
    <w:rsid w:val="00991D6C"/>
    <w:rsid w:val="009929B1"/>
    <w:rsid w:val="00993930"/>
    <w:rsid w:val="009A2B4D"/>
    <w:rsid w:val="009A2F5C"/>
    <w:rsid w:val="009A4164"/>
    <w:rsid w:val="009A4ADC"/>
    <w:rsid w:val="009A4FCA"/>
    <w:rsid w:val="009A572C"/>
    <w:rsid w:val="009A710D"/>
    <w:rsid w:val="009A7614"/>
    <w:rsid w:val="009B00FF"/>
    <w:rsid w:val="009B05E1"/>
    <w:rsid w:val="009B15EC"/>
    <w:rsid w:val="009B25E4"/>
    <w:rsid w:val="009B2954"/>
    <w:rsid w:val="009B3715"/>
    <w:rsid w:val="009B418A"/>
    <w:rsid w:val="009B45C2"/>
    <w:rsid w:val="009B4F08"/>
    <w:rsid w:val="009B7137"/>
    <w:rsid w:val="009C1F76"/>
    <w:rsid w:val="009C2681"/>
    <w:rsid w:val="009C5F65"/>
    <w:rsid w:val="009C623E"/>
    <w:rsid w:val="009C63C0"/>
    <w:rsid w:val="009C6F29"/>
    <w:rsid w:val="009D10BF"/>
    <w:rsid w:val="009D11EE"/>
    <w:rsid w:val="009D25DF"/>
    <w:rsid w:val="009D2A51"/>
    <w:rsid w:val="009D4D09"/>
    <w:rsid w:val="009D5D0A"/>
    <w:rsid w:val="009E0775"/>
    <w:rsid w:val="009E2D3A"/>
    <w:rsid w:val="009E3580"/>
    <w:rsid w:val="009E4ED4"/>
    <w:rsid w:val="009E628A"/>
    <w:rsid w:val="009E783D"/>
    <w:rsid w:val="009F4D47"/>
    <w:rsid w:val="009F5E86"/>
    <w:rsid w:val="009F7064"/>
    <w:rsid w:val="009F7351"/>
    <w:rsid w:val="009F7F7E"/>
    <w:rsid w:val="00A00A61"/>
    <w:rsid w:val="00A016E9"/>
    <w:rsid w:val="00A0194C"/>
    <w:rsid w:val="00A02DBB"/>
    <w:rsid w:val="00A02FC5"/>
    <w:rsid w:val="00A0413A"/>
    <w:rsid w:val="00A044EC"/>
    <w:rsid w:val="00A07256"/>
    <w:rsid w:val="00A10193"/>
    <w:rsid w:val="00A10963"/>
    <w:rsid w:val="00A11F45"/>
    <w:rsid w:val="00A14E90"/>
    <w:rsid w:val="00A150F4"/>
    <w:rsid w:val="00A21D5D"/>
    <w:rsid w:val="00A22818"/>
    <w:rsid w:val="00A228F3"/>
    <w:rsid w:val="00A22941"/>
    <w:rsid w:val="00A22A7E"/>
    <w:rsid w:val="00A24BF0"/>
    <w:rsid w:val="00A27D33"/>
    <w:rsid w:val="00A27D6C"/>
    <w:rsid w:val="00A30B39"/>
    <w:rsid w:val="00A312C6"/>
    <w:rsid w:val="00A31C7B"/>
    <w:rsid w:val="00A34D2D"/>
    <w:rsid w:val="00A357FA"/>
    <w:rsid w:val="00A36399"/>
    <w:rsid w:val="00A40992"/>
    <w:rsid w:val="00A411E5"/>
    <w:rsid w:val="00A45DD8"/>
    <w:rsid w:val="00A4749B"/>
    <w:rsid w:val="00A47D48"/>
    <w:rsid w:val="00A53D10"/>
    <w:rsid w:val="00A5563B"/>
    <w:rsid w:val="00A56936"/>
    <w:rsid w:val="00A61D23"/>
    <w:rsid w:val="00A61E82"/>
    <w:rsid w:val="00A62137"/>
    <w:rsid w:val="00A64D9C"/>
    <w:rsid w:val="00A65E07"/>
    <w:rsid w:val="00A67C59"/>
    <w:rsid w:val="00A701C8"/>
    <w:rsid w:val="00A718B4"/>
    <w:rsid w:val="00A7295C"/>
    <w:rsid w:val="00A72CE0"/>
    <w:rsid w:val="00A77122"/>
    <w:rsid w:val="00A771AF"/>
    <w:rsid w:val="00A77487"/>
    <w:rsid w:val="00A80AD1"/>
    <w:rsid w:val="00A82F8C"/>
    <w:rsid w:val="00A834E4"/>
    <w:rsid w:val="00A87A10"/>
    <w:rsid w:val="00A90070"/>
    <w:rsid w:val="00A91100"/>
    <w:rsid w:val="00A94738"/>
    <w:rsid w:val="00A9776E"/>
    <w:rsid w:val="00AA18D5"/>
    <w:rsid w:val="00AA2044"/>
    <w:rsid w:val="00AA2539"/>
    <w:rsid w:val="00AA3261"/>
    <w:rsid w:val="00AA36D3"/>
    <w:rsid w:val="00AA39D3"/>
    <w:rsid w:val="00AA46B0"/>
    <w:rsid w:val="00AA481A"/>
    <w:rsid w:val="00AA5543"/>
    <w:rsid w:val="00AA66C1"/>
    <w:rsid w:val="00AA7741"/>
    <w:rsid w:val="00AA7B40"/>
    <w:rsid w:val="00AB05B6"/>
    <w:rsid w:val="00AB0F4F"/>
    <w:rsid w:val="00AB16C9"/>
    <w:rsid w:val="00AB27C0"/>
    <w:rsid w:val="00AB39A3"/>
    <w:rsid w:val="00AB40F6"/>
    <w:rsid w:val="00AB444F"/>
    <w:rsid w:val="00AB447C"/>
    <w:rsid w:val="00AB576F"/>
    <w:rsid w:val="00AB7032"/>
    <w:rsid w:val="00AC0242"/>
    <w:rsid w:val="00AC0F41"/>
    <w:rsid w:val="00AC1D5B"/>
    <w:rsid w:val="00AC5EFF"/>
    <w:rsid w:val="00AC5F23"/>
    <w:rsid w:val="00AC6C21"/>
    <w:rsid w:val="00AC70D8"/>
    <w:rsid w:val="00AD0C39"/>
    <w:rsid w:val="00AD40F5"/>
    <w:rsid w:val="00AD5C86"/>
    <w:rsid w:val="00AE2660"/>
    <w:rsid w:val="00AE42A6"/>
    <w:rsid w:val="00AE6053"/>
    <w:rsid w:val="00AE6CE5"/>
    <w:rsid w:val="00AE7406"/>
    <w:rsid w:val="00AF0581"/>
    <w:rsid w:val="00AF066B"/>
    <w:rsid w:val="00AF09A9"/>
    <w:rsid w:val="00AF1DE9"/>
    <w:rsid w:val="00AF520D"/>
    <w:rsid w:val="00AF66B4"/>
    <w:rsid w:val="00B007F9"/>
    <w:rsid w:val="00B018C7"/>
    <w:rsid w:val="00B02BA4"/>
    <w:rsid w:val="00B03AF1"/>
    <w:rsid w:val="00B03FC9"/>
    <w:rsid w:val="00B0578B"/>
    <w:rsid w:val="00B05F61"/>
    <w:rsid w:val="00B10AE5"/>
    <w:rsid w:val="00B11410"/>
    <w:rsid w:val="00B116BE"/>
    <w:rsid w:val="00B11B9B"/>
    <w:rsid w:val="00B172ED"/>
    <w:rsid w:val="00B173F8"/>
    <w:rsid w:val="00B17B9E"/>
    <w:rsid w:val="00B22E5B"/>
    <w:rsid w:val="00B23CC3"/>
    <w:rsid w:val="00B272EB"/>
    <w:rsid w:val="00B30065"/>
    <w:rsid w:val="00B300A9"/>
    <w:rsid w:val="00B334D7"/>
    <w:rsid w:val="00B34F4A"/>
    <w:rsid w:val="00B4042C"/>
    <w:rsid w:val="00B40753"/>
    <w:rsid w:val="00B41B26"/>
    <w:rsid w:val="00B430B0"/>
    <w:rsid w:val="00B44FEC"/>
    <w:rsid w:val="00B46C4B"/>
    <w:rsid w:val="00B46C92"/>
    <w:rsid w:val="00B47215"/>
    <w:rsid w:val="00B50A6B"/>
    <w:rsid w:val="00B52B59"/>
    <w:rsid w:val="00B534DB"/>
    <w:rsid w:val="00B55174"/>
    <w:rsid w:val="00B56E2C"/>
    <w:rsid w:val="00B572F3"/>
    <w:rsid w:val="00B57944"/>
    <w:rsid w:val="00B62700"/>
    <w:rsid w:val="00B627EC"/>
    <w:rsid w:val="00B62CFA"/>
    <w:rsid w:val="00B67126"/>
    <w:rsid w:val="00B6794A"/>
    <w:rsid w:val="00B67D53"/>
    <w:rsid w:val="00B7256F"/>
    <w:rsid w:val="00B74567"/>
    <w:rsid w:val="00B74FC3"/>
    <w:rsid w:val="00B76858"/>
    <w:rsid w:val="00B76987"/>
    <w:rsid w:val="00B83A9E"/>
    <w:rsid w:val="00B848CB"/>
    <w:rsid w:val="00B85B88"/>
    <w:rsid w:val="00B86F21"/>
    <w:rsid w:val="00B87327"/>
    <w:rsid w:val="00B92CD2"/>
    <w:rsid w:val="00B97E9F"/>
    <w:rsid w:val="00BA02D5"/>
    <w:rsid w:val="00BA109E"/>
    <w:rsid w:val="00BA3772"/>
    <w:rsid w:val="00BA5BA5"/>
    <w:rsid w:val="00BB1367"/>
    <w:rsid w:val="00BB156D"/>
    <w:rsid w:val="00BB3314"/>
    <w:rsid w:val="00BB369D"/>
    <w:rsid w:val="00BB44EC"/>
    <w:rsid w:val="00BB6B59"/>
    <w:rsid w:val="00BB7F9A"/>
    <w:rsid w:val="00BC0CBA"/>
    <w:rsid w:val="00BC4450"/>
    <w:rsid w:val="00BC52FD"/>
    <w:rsid w:val="00BC5703"/>
    <w:rsid w:val="00BD00CA"/>
    <w:rsid w:val="00BD0539"/>
    <w:rsid w:val="00BD1827"/>
    <w:rsid w:val="00BD248A"/>
    <w:rsid w:val="00BD4901"/>
    <w:rsid w:val="00BD49A0"/>
    <w:rsid w:val="00BD574D"/>
    <w:rsid w:val="00BD5CD5"/>
    <w:rsid w:val="00BE12A5"/>
    <w:rsid w:val="00BE17EF"/>
    <w:rsid w:val="00BE1A04"/>
    <w:rsid w:val="00BE2035"/>
    <w:rsid w:val="00BE2BC5"/>
    <w:rsid w:val="00BE35F0"/>
    <w:rsid w:val="00BE4AA7"/>
    <w:rsid w:val="00BE4DFA"/>
    <w:rsid w:val="00BE5C06"/>
    <w:rsid w:val="00BF0276"/>
    <w:rsid w:val="00BF0BD5"/>
    <w:rsid w:val="00BF279D"/>
    <w:rsid w:val="00BF3BF8"/>
    <w:rsid w:val="00BF3D04"/>
    <w:rsid w:val="00BF5458"/>
    <w:rsid w:val="00BF63B3"/>
    <w:rsid w:val="00BF6AFA"/>
    <w:rsid w:val="00BF78B7"/>
    <w:rsid w:val="00C000FC"/>
    <w:rsid w:val="00C00C2C"/>
    <w:rsid w:val="00C030EA"/>
    <w:rsid w:val="00C03353"/>
    <w:rsid w:val="00C04653"/>
    <w:rsid w:val="00C04AC7"/>
    <w:rsid w:val="00C04CA3"/>
    <w:rsid w:val="00C04EE2"/>
    <w:rsid w:val="00C06DF8"/>
    <w:rsid w:val="00C07AC7"/>
    <w:rsid w:val="00C10D4D"/>
    <w:rsid w:val="00C1384C"/>
    <w:rsid w:val="00C14849"/>
    <w:rsid w:val="00C1627F"/>
    <w:rsid w:val="00C2058D"/>
    <w:rsid w:val="00C20714"/>
    <w:rsid w:val="00C20949"/>
    <w:rsid w:val="00C20B01"/>
    <w:rsid w:val="00C256E7"/>
    <w:rsid w:val="00C279E3"/>
    <w:rsid w:val="00C27FB1"/>
    <w:rsid w:val="00C3087A"/>
    <w:rsid w:val="00C317EA"/>
    <w:rsid w:val="00C36FA4"/>
    <w:rsid w:val="00C41519"/>
    <w:rsid w:val="00C41AAB"/>
    <w:rsid w:val="00C41B61"/>
    <w:rsid w:val="00C41D8C"/>
    <w:rsid w:val="00C4682F"/>
    <w:rsid w:val="00C506E3"/>
    <w:rsid w:val="00C52681"/>
    <w:rsid w:val="00C5498A"/>
    <w:rsid w:val="00C54AAB"/>
    <w:rsid w:val="00C55B0C"/>
    <w:rsid w:val="00C55C41"/>
    <w:rsid w:val="00C5628C"/>
    <w:rsid w:val="00C57B66"/>
    <w:rsid w:val="00C60327"/>
    <w:rsid w:val="00C60594"/>
    <w:rsid w:val="00C621DE"/>
    <w:rsid w:val="00C6307A"/>
    <w:rsid w:val="00C639E6"/>
    <w:rsid w:val="00C66CD3"/>
    <w:rsid w:val="00C71DA4"/>
    <w:rsid w:val="00C72BAA"/>
    <w:rsid w:val="00C72C27"/>
    <w:rsid w:val="00C72D77"/>
    <w:rsid w:val="00C73530"/>
    <w:rsid w:val="00C7430F"/>
    <w:rsid w:val="00C7526B"/>
    <w:rsid w:val="00C767E7"/>
    <w:rsid w:val="00C76E67"/>
    <w:rsid w:val="00C77B27"/>
    <w:rsid w:val="00C809B8"/>
    <w:rsid w:val="00C8139E"/>
    <w:rsid w:val="00C82C87"/>
    <w:rsid w:val="00C82DD7"/>
    <w:rsid w:val="00C8317E"/>
    <w:rsid w:val="00C8409F"/>
    <w:rsid w:val="00C84446"/>
    <w:rsid w:val="00C84ACD"/>
    <w:rsid w:val="00C8505F"/>
    <w:rsid w:val="00C90CF9"/>
    <w:rsid w:val="00C90D32"/>
    <w:rsid w:val="00C94E36"/>
    <w:rsid w:val="00C9643F"/>
    <w:rsid w:val="00C9694A"/>
    <w:rsid w:val="00C97B08"/>
    <w:rsid w:val="00CA1729"/>
    <w:rsid w:val="00CA3F5A"/>
    <w:rsid w:val="00CA4F9B"/>
    <w:rsid w:val="00CA62E6"/>
    <w:rsid w:val="00CA66F9"/>
    <w:rsid w:val="00CA7005"/>
    <w:rsid w:val="00CB087A"/>
    <w:rsid w:val="00CB2C8A"/>
    <w:rsid w:val="00CB787A"/>
    <w:rsid w:val="00CC04E8"/>
    <w:rsid w:val="00CD1F69"/>
    <w:rsid w:val="00CD45C1"/>
    <w:rsid w:val="00CD5CFC"/>
    <w:rsid w:val="00CE1770"/>
    <w:rsid w:val="00CE1E38"/>
    <w:rsid w:val="00CE1FD1"/>
    <w:rsid w:val="00CE2AB4"/>
    <w:rsid w:val="00CE4AD0"/>
    <w:rsid w:val="00CE6230"/>
    <w:rsid w:val="00CE6790"/>
    <w:rsid w:val="00CE6A9B"/>
    <w:rsid w:val="00CE73CD"/>
    <w:rsid w:val="00CF0FB5"/>
    <w:rsid w:val="00CF32BD"/>
    <w:rsid w:val="00CF3583"/>
    <w:rsid w:val="00CF537D"/>
    <w:rsid w:val="00CF6476"/>
    <w:rsid w:val="00CF6D8E"/>
    <w:rsid w:val="00CF7E6A"/>
    <w:rsid w:val="00D0096B"/>
    <w:rsid w:val="00D00E57"/>
    <w:rsid w:val="00D01A2D"/>
    <w:rsid w:val="00D0336B"/>
    <w:rsid w:val="00D0408D"/>
    <w:rsid w:val="00D04721"/>
    <w:rsid w:val="00D051C0"/>
    <w:rsid w:val="00D073B7"/>
    <w:rsid w:val="00D11398"/>
    <w:rsid w:val="00D11401"/>
    <w:rsid w:val="00D144E2"/>
    <w:rsid w:val="00D147E7"/>
    <w:rsid w:val="00D15126"/>
    <w:rsid w:val="00D1616B"/>
    <w:rsid w:val="00D16257"/>
    <w:rsid w:val="00D17025"/>
    <w:rsid w:val="00D22A7C"/>
    <w:rsid w:val="00D22DE4"/>
    <w:rsid w:val="00D25849"/>
    <w:rsid w:val="00D26B15"/>
    <w:rsid w:val="00D314EB"/>
    <w:rsid w:val="00D319B7"/>
    <w:rsid w:val="00D3419C"/>
    <w:rsid w:val="00D3485F"/>
    <w:rsid w:val="00D34A6F"/>
    <w:rsid w:val="00D35002"/>
    <w:rsid w:val="00D35204"/>
    <w:rsid w:val="00D37A41"/>
    <w:rsid w:val="00D37E9B"/>
    <w:rsid w:val="00D435BE"/>
    <w:rsid w:val="00D4590B"/>
    <w:rsid w:val="00D46FAE"/>
    <w:rsid w:val="00D47944"/>
    <w:rsid w:val="00D50952"/>
    <w:rsid w:val="00D50CB7"/>
    <w:rsid w:val="00D50E10"/>
    <w:rsid w:val="00D5552B"/>
    <w:rsid w:val="00D55BC7"/>
    <w:rsid w:val="00D55F51"/>
    <w:rsid w:val="00D606A5"/>
    <w:rsid w:val="00D64BE4"/>
    <w:rsid w:val="00D654A1"/>
    <w:rsid w:val="00D672FC"/>
    <w:rsid w:val="00D67BE6"/>
    <w:rsid w:val="00D70BBB"/>
    <w:rsid w:val="00D70C9B"/>
    <w:rsid w:val="00D714B0"/>
    <w:rsid w:val="00D7343F"/>
    <w:rsid w:val="00D73720"/>
    <w:rsid w:val="00D749D5"/>
    <w:rsid w:val="00D776C8"/>
    <w:rsid w:val="00D81567"/>
    <w:rsid w:val="00D82444"/>
    <w:rsid w:val="00D84AAA"/>
    <w:rsid w:val="00D84F2B"/>
    <w:rsid w:val="00D906E9"/>
    <w:rsid w:val="00D92E92"/>
    <w:rsid w:val="00DA1063"/>
    <w:rsid w:val="00DA126A"/>
    <w:rsid w:val="00DA188C"/>
    <w:rsid w:val="00DA1C8B"/>
    <w:rsid w:val="00DA2253"/>
    <w:rsid w:val="00DA51F0"/>
    <w:rsid w:val="00DA52E8"/>
    <w:rsid w:val="00DA6221"/>
    <w:rsid w:val="00DA6508"/>
    <w:rsid w:val="00DB0F6A"/>
    <w:rsid w:val="00DB161F"/>
    <w:rsid w:val="00DB2464"/>
    <w:rsid w:val="00DB2D9D"/>
    <w:rsid w:val="00DB431D"/>
    <w:rsid w:val="00DB4D06"/>
    <w:rsid w:val="00DC04F0"/>
    <w:rsid w:val="00DC2E52"/>
    <w:rsid w:val="00DC4C25"/>
    <w:rsid w:val="00DC5759"/>
    <w:rsid w:val="00DD0341"/>
    <w:rsid w:val="00DD15A8"/>
    <w:rsid w:val="00DD1AC6"/>
    <w:rsid w:val="00DD5220"/>
    <w:rsid w:val="00DD5512"/>
    <w:rsid w:val="00DE01E2"/>
    <w:rsid w:val="00DE46EE"/>
    <w:rsid w:val="00DE50C8"/>
    <w:rsid w:val="00DE573E"/>
    <w:rsid w:val="00DE6C67"/>
    <w:rsid w:val="00DF15F5"/>
    <w:rsid w:val="00DF174B"/>
    <w:rsid w:val="00DF194C"/>
    <w:rsid w:val="00DF2AE0"/>
    <w:rsid w:val="00DF3645"/>
    <w:rsid w:val="00DF38A5"/>
    <w:rsid w:val="00DF71D3"/>
    <w:rsid w:val="00DF7910"/>
    <w:rsid w:val="00DF7F79"/>
    <w:rsid w:val="00DF7FE5"/>
    <w:rsid w:val="00E001EB"/>
    <w:rsid w:val="00E0078C"/>
    <w:rsid w:val="00E016EC"/>
    <w:rsid w:val="00E068D7"/>
    <w:rsid w:val="00E06FA3"/>
    <w:rsid w:val="00E0749B"/>
    <w:rsid w:val="00E0780D"/>
    <w:rsid w:val="00E101EF"/>
    <w:rsid w:val="00E10E6E"/>
    <w:rsid w:val="00E112CA"/>
    <w:rsid w:val="00E11FC1"/>
    <w:rsid w:val="00E131F2"/>
    <w:rsid w:val="00E13683"/>
    <w:rsid w:val="00E13CE4"/>
    <w:rsid w:val="00E13D70"/>
    <w:rsid w:val="00E1414E"/>
    <w:rsid w:val="00E14416"/>
    <w:rsid w:val="00E15F86"/>
    <w:rsid w:val="00E172CD"/>
    <w:rsid w:val="00E17D66"/>
    <w:rsid w:val="00E17E76"/>
    <w:rsid w:val="00E20278"/>
    <w:rsid w:val="00E205AE"/>
    <w:rsid w:val="00E208D2"/>
    <w:rsid w:val="00E21B3D"/>
    <w:rsid w:val="00E24FFF"/>
    <w:rsid w:val="00E32B5B"/>
    <w:rsid w:val="00E32C46"/>
    <w:rsid w:val="00E33CE0"/>
    <w:rsid w:val="00E3479B"/>
    <w:rsid w:val="00E36D9C"/>
    <w:rsid w:val="00E37991"/>
    <w:rsid w:val="00E409E6"/>
    <w:rsid w:val="00E4114C"/>
    <w:rsid w:val="00E4123A"/>
    <w:rsid w:val="00E43662"/>
    <w:rsid w:val="00E46A51"/>
    <w:rsid w:val="00E476EB"/>
    <w:rsid w:val="00E47708"/>
    <w:rsid w:val="00E50235"/>
    <w:rsid w:val="00E50DD3"/>
    <w:rsid w:val="00E52E8A"/>
    <w:rsid w:val="00E553A3"/>
    <w:rsid w:val="00E612BB"/>
    <w:rsid w:val="00E613B6"/>
    <w:rsid w:val="00E6180D"/>
    <w:rsid w:val="00E61C85"/>
    <w:rsid w:val="00E61E39"/>
    <w:rsid w:val="00E631F3"/>
    <w:rsid w:val="00E63A7E"/>
    <w:rsid w:val="00E64C2F"/>
    <w:rsid w:val="00E6582D"/>
    <w:rsid w:val="00E662E7"/>
    <w:rsid w:val="00E67FE4"/>
    <w:rsid w:val="00E70868"/>
    <w:rsid w:val="00E736F4"/>
    <w:rsid w:val="00E74467"/>
    <w:rsid w:val="00E74A40"/>
    <w:rsid w:val="00E7553A"/>
    <w:rsid w:val="00E76A77"/>
    <w:rsid w:val="00E80A76"/>
    <w:rsid w:val="00E8299A"/>
    <w:rsid w:val="00E82D5B"/>
    <w:rsid w:val="00E8394B"/>
    <w:rsid w:val="00E85F06"/>
    <w:rsid w:val="00E86E9A"/>
    <w:rsid w:val="00E8779C"/>
    <w:rsid w:val="00E87D1B"/>
    <w:rsid w:val="00E90189"/>
    <w:rsid w:val="00E906EE"/>
    <w:rsid w:val="00E914BA"/>
    <w:rsid w:val="00E91FA4"/>
    <w:rsid w:val="00E9500A"/>
    <w:rsid w:val="00E950A3"/>
    <w:rsid w:val="00E95649"/>
    <w:rsid w:val="00E95A2E"/>
    <w:rsid w:val="00E968DA"/>
    <w:rsid w:val="00E96BB0"/>
    <w:rsid w:val="00E96C27"/>
    <w:rsid w:val="00E97158"/>
    <w:rsid w:val="00EA0EB4"/>
    <w:rsid w:val="00EA1545"/>
    <w:rsid w:val="00EA1942"/>
    <w:rsid w:val="00EA30DF"/>
    <w:rsid w:val="00EA3E99"/>
    <w:rsid w:val="00EB0656"/>
    <w:rsid w:val="00EB128A"/>
    <w:rsid w:val="00EB241D"/>
    <w:rsid w:val="00EB24FA"/>
    <w:rsid w:val="00EB2916"/>
    <w:rsid w:val="00EB2CA6"/>
    <w:rsid w:val="00EB54A4"/>
    <w:rsid w:val="00EB63C0"/>
    <w:rsid w:val="00EC048C"/>
    <w:rsid w:val="00EC0F6B"/>
    <w:rsid w:val="00EC24D4"/>
    <w:rsid w:val="00EC5078"/>
    <w:rsid w:val="00EC52D2"/>
    <w:rsid w:val="00EC5387"/>
    <w:rsid w:val="00EC7922"/>
    <w:rsid w:val="00ED0503"/>
    <w:rsid w:val="00ED3201"/>
    <w:rsid w:val="00ED3EF6"/>
    <w:rsid w:val="00ED5596"/>
    <w:rsid w:val="00ED6451"/>
    <w:rsid w:val="00ED75DA"/>
    <w:rsid w:val="00ED7E20"/>
    <w:rsid w:val="00EE1B43"/>
    <w:rsid w:val="00EE423C"/>
    <w:rsid w:val="00EE42D1"/>
    <w:rsid w:val="00EE5436"/>
    <w:rsid w:val="00EE55C8"/>
    <w:rsid w:val="00EE57C8"/>
    <w:rsid w:val="00EE775E"/>
    <w:rsid w:val="00EF113F"/>
    <w:rsid w:val="00EF119A"/>
    <w:rsid w:val="00EF14A8"/>
    <w:rsid w:val="00EF170A"/>
    <w:rsid w:val="00EF289C"/>
    <w:rsid w:val="00EF3A79"/>
    <w:rsid w:val="00EF65C3"/>
    <w:rsid w:val="00EF65E6"/>
    <w:rsid w:val="00EF6929"/>
    <w:rsid w:val="00F02332"/>
    <w:rsid w:val="00F024C7"/>
    <w:rsid w:val="00F03641"/>
    <w:rsid w:val="00F0554D"/>
    <w:rsid w:val="00F07AB5"/>
    <w:rsid w:val="00F10233"/>
    <w:rsid w:val="00F104E8"/>
    <w:rsid w:val="00F10CB3"/>
    <w:rsid w:val="00F1175E"/>
    <w:rsid w:val="00F13BC2"/>
    <w:rsid w:val="00F159B5"/>
    <w:rsid w:val="00F159F7"/>
    <w:rsid w:val="00F15CE8"/>
    <w:rsid w:val="00F1775C"/>
    <w:rsid w:val="00F17A98"/>
    <w:rsid w:val="00F17B05"/>
    <w:rsid w:val="00F226A5"/>
    <w:rsid w:val="00F25603"/>
    <w:rsid w:val="00F26305"/>
    <w:rsid w:val="00F275AD"/>
    <w:rsid w:val="00F27943"/>
    <w:rsid w:val="00F30208"/>
    <w:rsid w:val="00F3070D"/>
    <w:rsid w:val="00F30CA2"/>
    <w:rsid w:val="00F32459"/>
    <w:rsid w:val="00F3274B"/>
    <w:rsid w:val="00F3430A"/>
    <w:rsid w:val="00F37797"/>
    <w:rsid w:val="00F379DC"/>
    <w:rsid w:val="00F41363"/>
    <w:rsid w:val="00F41632"/>
    <w:rsid w:val="00F41A65"/>
    <w:rsid w:val="00F44791"/>
    <w:rsid w:val="00F47FFC"/>
    <w:rsid w:val="00F513AE"/>
    <w:rsid w:val="00F53ED6"/>
    <w:rsid w:val="00F545CD"/>
    <w:rsid w:val="00F54A7D"/>
    <w:rsid w:val="00F56314"/>
    <w:rsid w:val="00F621D8"/>
    <w:rsid w:val="00F648D1"/>
    <w:rsid w:val="00F64DA2"/>
    <w:rsid w:val="00F7152C"/>
    <w:rsid w:val="00F71B8A"/>
    <w:rsid w:val="00F72717"/>
    <w:rsid w:val="00F77E1C"/>
    <w:rsid w:val="00F81EA8"/>
    <w:rsid w:val="00F83FB6"/>
    <w:rsid w:val="00F83FC4"/>
    <w:rsid w:val="00F85A89"/>
    <w:rsid w:val="00F866DE"/>
    <w:rsid w:val="00F90E48"/>
    <w:rsid w:val="00F921FB"/>
    <w:rsid w:val="00F95260"/>
    <w:rsid w:val="00F959D9"/>
    <w:rsid w:val="00F97586"/>
    <w:rsid w:val="00FA1536"/>
    <w:rsid w:val="00FA19E1"/>
    <w:rsid w:val="00FA5BF3"/>
    <w:rsid w:val="00FA67F5"/>
    <w:rsid w:val="00FB3BB2"/>
    <w:rsid w:val="00FB5A4D"/>
    <w:rsid w:val="00FB73F5"/>
    <w:rsid w:val="00FC2127"/>
    <w:rsid w:val="00FC37BF"/>
    <w:rsid w:val="00FC4C1B"/>
    <w:rsid w:val="00FC55E0"/>
    <w:rsid w:val="00FC5E27"/>
    <w:rsid w:val="00FC6FEB"/>
    <w:rsid w:val="00FC7C04"/>
    <w:rsid w:val="00FD4B4E"/>
    <w:rsid w:val="00FD4BA1"/>
    <w:rsid w:val="00FD4BF0"/>
    <w:rsid w:val="00FD5573"/>
    <w:rsid w:val="00FD7877"/>
    <w:rsid w:val="00FE0A8D"/>
    <w:rsid w:val="00FE0BF4"/>
    <w:rsid w:val="00FE325E"/>
    <w:rsid w:val="00FE327A"/>
    <w:rsid w:val="00FE4A66"/>
    <w:rsid w:val="00FE6928"/>
    <w:rsid w:val="00FE6F4D"/>
    <w:rsid w:val="00FF0A3F"/>
    <w:rsid w:val="00FF0C16"/>
    <w:rsid w:val="00FF210B"/>
    <w:rsid w:val="00FF216D"/>
    <w:rsid w:val="00FF21E8"/>
    <w:rsid w:val="00FF6124"/>
    <w:rsid w:val="00FF6723"/>
    <w:rsid w:val="00FF70F3"/>
    <w:rsid w:val="0240E88E"/>
    <w:rsid w:val="02EB5204"/>
    <w:rsid w:val="04552B89"/>
    <w:rsid w:val="05FC6599"/>
    <w:rsid w:val="0663FF2F"/>
    <w:rsid w:val="06D5D0B6"/>
    <w:rsid w:val="092F6CFB"/>
    <w:rsid w:val="0B26B022"/>
    <w:rsid w:val="0B51E734"/>
    <w:rsid w:val="0E56FD1F"/>
    <w:rsid w:val="0F4AA5E7"/>
    <w:rsid w:val="10931B5C"/>
    <w:rsid w:val="12D5B7C9"/>
    <w:rsid w:val="1435AF57"/>
    <w:rsid w:val="1471882A"/>
    <w:rsid w:val="1570B429"/>
    <w:rsid w:val="15788F9E"/>
    <w:rsid w:val="1846EC6A"/>
    <w:rsid w:val="18FCEFB2"/>
    <w:rsid w:val="190C71E3"/>
    <w:rsid w:val="19DDD957"/>
    <w:rsid w:val="1A9BD96D"/>
    <w:rsid w:val="1CB02356"/>
    <w:rsid w:val="1CC79D35"/>
    <w:rsid w:val="1CCA00A6"/>
    <w:rsid w:val="1D7777D3"/>
    <w:rsid w:val="1E40FD36"/>
    <w:rsid w:val="1F440154"/>
    <w:rsid w:val="1F6B2FF3"/>
    <w:rsid w:val="201E748D"/>
    <w:rsid w:val="20E5D5FB"/>
    <w:rsid w:val="22A894F4"/>
    <w:rsid w:val="23A3C5B3"/>
    <w:rsid w:val="2435A6BA"/>
    <w:rsid w:val="246CA343"/>
    <w:rsid w:val="248771B2"/>
    <w:rsid w:val="2575E430"/>
    <w:rsid w:val="258EC579"/>
    <w:rsid w:val="25F25B86"/>
    <w:rsid w:val="272A95DA"/>
    <w:rsid w:val="28502B00"/>
    <w:rsid w:val="2852943B"/>
    <w:rsid w:val="2993D952"/>
    <w:rsid w:val="2A3EE85D"/>
    <w:rsid w:val="2A99C2DA"/>
    <w:rsid w:val="2AAACF2F"/>
    <w:rsid w:val="2AF4350E"/>
    <w:rsid w:val="2B7CCFF3"/>
    <w:rsid w:val="2D18A054"/>
    <w:rsid w:val="2FA1100C"/>
    <w:rsid w:val="30AF3F7F"/>
    <w:rsid w:val="3155A387"/>
    <w:rsid w:val="3211EBBC"/>
    <w:rsid w:val="3222B054"/>
    <w:rsid w:val="336EB97B"/>
    <w:rsid w:val="346CD768"/>
    <w:rsid w:val="3499918A"/>
    <w:rsid w:val="34EB8EED"/>
    <w:rsid w:val="350A89DC"/>
    <w:rsid w:val="35647013"/>
    <w:rsid w:val="3610BCD9"/>
    <w:rsid w:val="364DC430"/>
    <w:rsid w:val="3670155A"/>
    <w:rsid w:val="37C5BE90"/>
    <w:rsid w:val="37D29BF4"/>
    <w:rsid w:val="393CEB7E"/>
    <w:rsid w:val="395F3450"/>
    <w:rsid w:val="39AAE8DA"/>
    <w:rsid w:val="39BF0010"/>
    <w:rsid w:val="3A3AD371"/>
    <w:rsid w:val="3A66D30B"/>
    <w:rsid w:val="3B4966D4"/>
    <w:rsid w:val="3B8A813A"/>
    <w:rsid w:val="3EDC11E8"/>
    <w:rsid w:val="3F0D53D7"/>
    <w:rsid w:val="41682285"/>
    <w:rsid w:val="41B0E998"/>
    <w:rsid w:val="42926429"/>
    <w:rsid w:val="42DC4880"/>
    <w:rsid w:val="4351CB20"/>
    <w:rsid w:val="4359212E"/>
    <w:rsid w:val="4377DAE3"/>
    <w:rsid w:val="43F2837B"/>
    <w:rsid w:val="44ED9B81"/>
    <w:rsid w:val="456F1728"/>
    <w:rsid w:val="457DEABF"/>
    <w:rsid w:val="45E15E74"/>
    <w:rsid w:val="47B35A5A"/>
    <w:rsid w:val="47EF439C"/>
    <w:rsid w:val="4901A5AD"/>
    <w:rsid w:val="4CB75C24"/>
    <w:rsid w:val="4DB3379F"/>
    <w:rsid w:val="4DF144F6"/>
    <w:rsid w:val="4FC687DA"/>
    <w:rsid w:val="511EFFF4"/>
    <w:rsid w:val="521C03F9"/>
    <w:rsid w:val="5356B413"/>
    <w:rsid w:val="544B0C1D"/>
    <w:rsid w:val="5456A0B6"/>
    <w:rsid w:val="55453747"/>
    <w:rsid w:val="56E7ACC0"/>
    <w:rsid w:val="573E1D4E"/>
    <w:rsid w:val="57DBB1EF"/>
    <w:rsid w:val="57EC3F09"/>
    <w:rsid w:val="5851E22A"/>
    <w:rsid w:val="5AA3F43E"/>
    <w:rsid w:val="5BF461BC"/>
    <w:rsid w:val="5C1C2025"/>
    <w:rsid w:val="5DF5A787"/>
    <w:rsid w:val="5E9D3356"/>
    <w:rsid w:val="5F4F4380"/>
    <w:rsid w:val="5F9177E8"/>
    <w:rsid w:val="6035371B"/>
    <w:rsid w:val="619B0ED5"/>
    <w:rsid w:val="644BC6D2"/>
    <w:rsid w:val="651BEE57"/>
    <w:rsid w:val="65608773"/>
    <w:rsid w:val="65A1F04C"/>
    <w:rsid w:val="65AF7F86"/>
    <w:rsid w:val="67412D08"/>
    <w:rsid w:val="67BF9734"/>
    <w:rsid w:val="67CB4DB7"/>
    <w:rsid w:val="681F1D9D"/>
    <w:rsid w:val="68335C64"/>
    <w:rsid w:val="68538F19"/>
    <w:rsid w:val="68DCFD69"/>
    <w:rsid w:val="68F61B64"/>
    <w:rsid w:val="69EF5F7A"/>
    <w:rsid w:val="6A71F25C"/>
    <w:rsid w:val="6AB0309E"/>
    <w:rsid w:val="6B41F11B"/>
    <w:rsid w:val="6B71E0CF"/>
    <w:rsid w:val="6B7BC638"/>
    <w:rsid w:val="6C2B4DD4"/>
    <w:rsid w:val="6D13DA79"/>
    <w:rsid w:val="6D5FD1B4"/>
    <w:rsid w:val="6E9777E3"/>
    <w:rsid w:val="6EFF8E44"/>
    <w:rsid w:val="6F131187"/>
    <w:rsid w:val="715263F1"/>
    <w:rsid w:val="7196FD0D"/>
    <w:rsid w:val="7225E21E"/>
    <w:rsid w:val="73620E56"/>
    <w:rsid w:val="7539FFA7"/>
    <w:rsid w:val="7579A7EB"/>
    <w:rsid w:val="757CCBA6"/>
    <w:rsid w:val="75EB22B4"/>
    <w:rsid w:val="7694678F"/>
    <w:rsid w:val="76D5D008"/>
    <w:rsid w:val="76F87887"/>
    <w:rsid w:val="773A5C82"/>
    <w:rsid w:val="779536FF"/>
    <w:rsid w:val="77C42B00"/>
    <w:rsid w:val="795D75D6"/>
    <w:rsid w:val="79E71BA7"/>
    <w:rsid w:val="7A74BC02"/>
    <w:rsid w:val="7AD91382"/>
    <w:rsid w:val="7C9D89EC"/>
    <w:rsid w:val="7E9673EC"/>
    <w:rsid w:val="7EAF6250"/>
    <w:rsid w:val="7F10C8D3"/>
    <w:rsid w:val="7F5AB73F"/>
    <w:rsid w:val="7F87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4096F"/>
  <w15:docId w15:val="{BD80D109-5BBB-47C5-9AAC-C3AF2DD8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15F86"/>
    <w:rPr>
      <w:rFonts w:ascii="Arial" w:hAnsi="Arial"/>
      <w:sz w:val="22"/>
      <w:lang w:val="de-DE" w:eastAsia="de-DE"/>
    </w:rPr>
  </w:style>
  <w:style w:type="paragraph" w:styleId="berschrift1">
    <w:name w:val="heading 1"/>
    <w:basedOn w:val="Standard"/>
    <w:next w:val="Standard"/>
    <w:link w:val="berschrift1Zchn"/>
    <w:qFormat/>
    <w:rsid w:val="00E15F86"/>
    <w:pPr>
      <w:keepNext/>
      <w:spacing w:before="240" w:after="60"/>
      <w:outlineLvl w:val="0"/>
    </w:pPr>
    <w:rPr>
      <w:b/>
      <w:kern w:val="28"/>
      <w:sz w:val="28"/>
    </w:rPr>
  </w:style>
  <w:style w:type="paragraph" w:styleId="berschrift2">
    <w:name w:val="heading 2"/>
    <w:basedOn w:val="Standard"/>
    <w:next w:val="Standard"/>
    <w:qFormat/>
    <w:rsid w:val="00E15F86"/>
    <w:pPr>
      <w:keepNext/>
      <w:spacing w:before="240" w:after="60"/>
      <w:outlineLvl w:val="1"/>
    </w:pPr>
    <w:rPr>
      <w:b/>
      <w:i/>
      <w:sz w:val="24"/>
    </w:rPr>
  </w:style>
  <w:style w:type="paragraph" w:styleId="berschrift3">
    <w:name w:val="heading 3"/>
    <w:basedOn w:val="Standard"/>
    <w:next w:val="Standard"/>
    <w:qFormat/>
    <w:rsid w:val="00E15F86"/>
    <w:pPr>
      <w:keepNext/>
      <w:spacing w:before="240" w:after="60"/>
      <w:outlineLvl w:val="2"/>
    </w:pPr>
    <w:rPr>
      <w:b/>
      <w:sz w:val="24"/>
    </w:rPr>
  </w:style>
  <w:style w:type="paragraph" w:styleId="berschrift5">
    <w:name w:val="heading 5"/>
    <w:basedOn w:val="Standard"/>
    <w:next w:val="Standard"/>
    <w:link w:val="berschrift5Zchn"/>
    <w:semiHidden/>
    <w:unhideWhenUsed/>
    <w:qFormat/>
    <w:rsid w:val="00ED75D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uzeile">
    <w:name w:val="footer"/>
    <w:basedOn w:val="Standard"/>
    <w:link w:val="FuzeileZchn"/>
    <w:rsid w:val="00E15F86"/>
    <w:pPr>
      <w:tabs>
        <w:tab w:val="center" w:pos="4536"/>
        <w:tab w:val="right" w:pos="9072"/>
      </w:tabs>
    </w:pPr>
  </w:style>
  <w:style w:type="character" w:customStyle="1" w:styleId="FuzeileZchn">
    <w:name w:val="Fußzeile Zchn"/>
    <w:basedOn w:val="Absatz-Standardschriftart"/>
    <w:link w:val="Fuzeile"/>
    <w:rsid w:val="00013648"/>
    <w:rPr>
      <w:rFonts w:ascii="Arial" w:hAnsi="Arial"/>
      <w:sz w:val="22"/>
      <w:lang w:val="de-DE" w:eastAsia="de-DE"/>
    </w:rPr>
  </w:style>
  <w:style w:type="paragraph" w:styleId="Kopfzeile">
    <w:name w:val="header"/>
    <w:basedOn w:val="Standard"/>
    <w:rsid w:val="00E15F86"/>
    <w:pPr>
      <w:tabs>
        <w:tab w:val="center" w:pos="4252"/>
        <w:tab w:val="right" w:pos="8504"/>
      </w:tabs>
    </w:pPr>
  </w:style>
  <w:style w:type="character" w:styleId="Seitenzahl">
    <w:name w:val="page number"/>
    <w:basedOn w:val="Absatz-Standardschriftart"/>
    <w:rsid w:val="00E15F86"/>
  </w:style>
  <w:style w:type="table" w:styleId="Tabellenraster">
    <w:name w:val="Table Grid"/>
    <w:basedOn w:val="NormaleTabelle"/>
    <w:uiPriority w:val="3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36FB2"/>
    <w:rPr>
      <w:rFonts w:ascii="Tahoma" w:hAnsi="Tahoma" w:cs="Tahoma"/>
      <w:sz w:val="16"/>
      <w:szCs w:val="16"/>
    </w:rPr>
  </w:style>
  <w:style w:type="paragraph" w:styleId="Listenabsatz">
    <w:name w:val="List Paragraph"/>
    <w:aliases w:val="List_Paragraph,Multilevel para_II,List Paragraph1,List Paragraph-ExecSummary,Akapit z listą BS,Bullets,List Paragraph 1,References,List Paragraph (numbered (a)),IBL List Paragraph,List Paragraph nowy,Numbered List Paragraph,Bullet1"/>
    <w:basedOn w:val="Standard"/>
    <w:link w:val="ListenabsatzZchn"/>
    <w:uiPriority w:val="34"/>
    <w:qFormat/>
    <w:rsid w:val="003F4B28"/>
    <w:pPr>
      <w:spacing w:after="200" w:line="276" w:lineRule="auto"/>
      <w:ind w:left="720"/>
      <w:contextualSpacing/>
    </w:pPr>
    <w:rPr>
      <w:rFonts w:ascii="Calibri" w:eastAsia="Calibri" w:hAnsi="Calibri"/>
      <w:szCs w:val="22"/>
      <w:lang w:eastAsia="en-US"/>
    </w:rPr>
  </w:style>
  <w:style w:type="character" w:styleId="Kommentarzeichen">
    <w:name w:val="annotation reference"/>
    <w:basedOn w:val="Absatz-Standardschriftart"/>
    <w:uiPriority w:val="99"/>
    <w:unhideWhenUsed/>
    <w:rsid w:val="003F4B28"/>
    <w:rPr>
      <w:sz w:val="16"/>
      <w:szCs w:val="16"/>
    </w:rPr>
  </w:style>
  <w:style w:type="paragraph" w:styleId="Kommentartext">
    <w:name w:val="annotation text"/>
    <w:basedOn w:val="Standard"/>
    <w:link w:val="KommentartextZchn"/>
    <w:uiPriority w:val="99"/>
    <w:unhideWhenUsed/>
    <w:rsid w:val="003F4B28"/>
    <w:pPr>
      <w:spacing w:after="200"/>
    </w:pPr>
    <w:rPr>
      <w:rFonts w:ascii="Calibri" w:eastAsia="Calibri" w:hAnsi="Calibri"/>
      <w:sz w:val="20"/>
      <w:lang w:eastAsia="en-US"/>
    </w:rPr>
  </w:style>
  <w:style w:type="character" w:customStyle="1" w:styleId="KommentartextZchn">
    <w:name w:val="Kommentartext Zchn"/>
    <w:basedOn w:val="Absatz-Standardschriftart"/>
    <w:link w:val="Kommentartext"/>
    <w:uiPriority w:val="99"/>
    <w:rsid w:val="003F4B28"/>
    <w:rPr>
      <w:rFonts w:ascii="Calibri" w:eastAsia="Calibri" w:hAnsi="Calibri" w:cs="Times New Roman"/>
      <w:lang w:eastAsia="en-US"/>
    </w:rPr>
  </w:style>
  <w:style w:type="paragraph" w:styleId="Kommentarthema">
    <w:name w:val="annotation subject"/>
    <w:basedOn w:val="Kommentartext"/>
    <w:next w:val="Kommentartext"/>
    <w:link w:val="KommentarthemaZchn"/>
    <w:rsid w:val="00513ABC"/>
    <w:pPr>
      <w:spacing w:after="0"/>
    </w:pPr>
    <w:rPr>
      <w:rFonts w:ascii="Arial" w:eastAsia="Times New Roman" w:hAnsi="Arial"/>
      <w:b/>
      <w:bCs/>
      <w:lang w:eastAsia="de-DE"/>
    </w:rPr>
  </w:style>
  <w:style w:type="character" w:customStyle="1" w:styleId="KommentarthemaZchn">
    <w:name w:val="Kommentarthema Zchn"/>
    <w:basedOn w:val="KommentartextZchn"/>
    <w:link w:val="Kommentarthema"/>
    <w:rsid w:val="00513ABC"/>
    <w:rPr>
      <w:rFonts w:ascii="Arial" w:eastAsia="Calibri" w:hAnsi="Arial" w:cs="Times New Roman"/>
      <w:b/>
      <w:bCs/>
      <w:lang w:eastAsia="en-US"/>
    </w:rPr>
  </w:style>
  <w:style w:type="paragraph" w:styleId="StandardWeb">
    <w:name w:val="Normal (Web)"/>
    <w:basedOn w:val="Standard"/>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Absatz-Standardschriftart"/>
    <w:rsid w:val="005C65B5"/>
  </w:style>
  <w:style w:type="character" w:customStyle="1" w:styleId="shorttext">
    <w:name w:val="short_text"/>
    <w:basedOn w:val="Absatz-Standardschriftart"/>
    <w:rsid w:val="005C65B5"/>
  </w:style>
  <w:style w:type="paragraph" w:styleId="Funotentext">
    <w:name w:val="footnote text"/>
    <w:basedOn w:val="Standard"/>
    <w:link w:val="FunotentextZchn"/>
    <w:uiPriority w:val="99"/>
    <w:unhideWhenUsed/>
    <w:rsid w:val="00DF15F5"/>
    <w:rPr>
      <w:rFonts w:asciiTheme="minorHAnsi" w:eastAsiaTheme="minorHAnsi" w:hAnsiTheme="minorHAnsi" w:cstheme="minorBidi"/>
      <w:sz w:val="20"/>
      <w:lang w:val="en-GB" w:eastAsia="en-US"/>
    </w:rPr>
  </w:style>
  <w:style w:type="character" w:customStyle="1" w:styleId="FunotentextZchn">
    <w:name w:val="Fußnotentext Zchn"/>
    <w:basedOn w:val="Absatz-Standardschriftart"/>
    <w:link w:val="Funotentext"/>
    <w:uiPriority w:val="99"/>
    <w:rsid w:val="00DF15F5"/>
    <w:rPr>
      <w:rFonts w:asciiTheme="minorHAnsi" w:eastAsiaTheme="minorHAnsi" w:hAnsiTheme="minorHAnsi" w:cstheme="minorBidi"/>
      <w:lang w:val="en-GB" w:eastAsia="en-US"/>
    </w:rPr>
  </w:style>
  <w:style w:type="character" w:styleId="Funotenzeichen">
    <w:name w:val="footnote reference"/>
    <w:basedOn w:val="Absatz-Standardschriftart"/>
    <w:uiPriority w:val="99"/>
    <w:unhideWhenUsed/>
    <w:rsid w:val="00DF15F5"/>
    <w:rPr>
      <w:vertAlign w:val="superscript"/>
    </w:rPr>
  </w:style>
  <w:style w:type="character" w:styleId="Hyperlink">
    <w:name w:val="Hyperlink"/>
    <w:basedOn w:val="Absatz-Standardschriftart"/>
    <w:uiPriority w:val="99"/>
    <w:rsid w:val="001E03C6"/>
    <w:rPr>
      <w:color w:val="0000FF" w:themeColor="hyperlink"/>
      <w:u w:val="single"/>
    </w:rPr>
  </w:style>
  <w:style w:type="character" w:customStyle="1" w:styleId="longtext">
    <w:name w:val="long_text"/>
    <w:basedOn w:val="Absatz-Standardschriftart"/>
    <w:rsid w:val="00857F0A"/>
  </w:style>
  <w:style w:type="character" w:styleId="BesuchterLink">
    <w:name w:val="FollowedHyperlink"/>
    <w:basedOn w:val="Absatz-Standardschriftart"/>
    <w:uiPriority w:val="99"/>
    <w:unhideWhenUsed/>
    <w:rsid w:val="00143B38"/>
    <w:rPr>
      <w:color w:val="800080"/>
      <w:u w:val="single"/>
    </w:rPr>
  </w:style>
  <w:style w:type="paragraph" w:customStyle="1" w:styleId="xl63">
    <w:name w:val="xl63"/>
    <w:basedOn w:val="Standard"/>
    <w:rsid w:val="00143B38"/>
    <w:pPr>
      <w:spacing w:before="100" w:beforeAutospacing="1" w:after="100" w:afterAutospacing="1"/>
    </w:pPr>
    <w:rPr>
      <w:rFonts w:ascii="Times New Roman" w:hAnsi="Times New Roman"/>
      <w:sz w:val="20"/>
    </w:rPr>
  </w:style>
  <w:style w:type="paragraph" w:customStyle="1" w:styleId="xl64">
    <w:name w:val="xl64"/>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Standard"/>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Standard"/>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Standard"/>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Standard"/>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Standard"/>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Standard"/>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berschrift1Zchn">
    <w:name w:val="Überschrift 1 Zchn"/>
    <w:basedOn w:val="Absatz-Standardschriftart"/>
    <w:link w:val="berschrift1"/>
    <w:rsid w:val="00C14849"/>
    <w:rPr>
      <w:rFonts w:ascii="Arial" w:hAnsi="Arial"/>
      <w:b/>
      <w:kern w:val="28"/>
      <w:sz w:val="28"/>
      <w:lang w:val="de-DE" w:eastAsia="de-DE"/>
    </w:rPr>
  </w:style>
  <w:style w:type="character" w:customStyle="1" w:styleId="berschrift5Zchn">
    <w:name w:val="Überschrift 5 Zchn"/>
    <w:basedOn w:val="Absatz-Standardschriftart"/>
    <w:link w:val="berschrift5"/>
    <w:semiHidden/>
    <w:rsid w:val="00ED75DA"/>
    <w:rPr>
      <w:rFonts w:asciiTheme="majorHAnsi" w:eastAsiaTheme="majorEastAsia" w:hAnsiTheme="majorHAnsi" w:cstheme="majorBidi"/>
      <w:color w:val="243F60" w:themeColor="accent1" w:themeShade="7F"/>
      <w:sz w:val="22"/>
      <w:lang w:val="de-DE" w:eastAsia="de-DE"/>
    </w:rPr>
  </w:style>
  <w:style w:type="paragraph" w:styleId="berarbeitung">
    <w:name w:val="Revision"/>
    <w:hidden/>
    <w:uiPriority w:val="99"/>
    <w:semiHidden/>
    <w:rsid w:val="00B30065"/>
    <w:rPr>
      <w:rFonts w:ascii="Arial" w:hAnsi="Arial"/>
      <w:sz w:val="22"/>
      <w:lang w:val="de-DE" w:eastAsia="de-DE"/>
    </w:rPr>
  </w:style>
  <w:style w:type="paragraph" w:customStyle="1" w:styleId="mechtex">
    <w:name w:val="mechtex"/>
    <w:basedOn w:val="Standard"/>
    <w:link w:val="mechtexChar"/>
    <w:rsid w:val="00C639E6"/>
    <w:pPr>
      <w:jc w:val="center"/>
    </w:pPr>
    <w:rPr>
      <w:rFonts w:ascii="Arial Armenian" w:hAnsi="Arial Armenian"/>
      <w:lang w:val="en-US" w:eastAsia="ru-RU"/>
    </w:rPr>
  </w:style>
  <w:style w:type="character" w:customStyle="1" w:styleId="mechtexChar">
    <w:name w:val="mechtex Char"/>
    <w:link w:val="mechtex"/>
    <w:rsid w:val="00C639E6"/>
    <w:rPr>
      <w:rFonts w:ascii="Arial Armenian" w:hAnsi="Arial Armenian"/>
      <w:sz w:val="22"/>
      <w:lang w:val="en-US"/>
    </w:rPr>
  </w:style>
  <w:style w:type="character" w:customStyle="1" w:styleId="ListenabsatzZchn">
    <w:name w:val="Listenabsatz Zchn"/>
    <w:aliases w:val="List_Paragraph Zchn,Multilevel para_II Zchn,List Paragraph1 Zchn,List Paragraph-ExecSummary Zchn,Akapit z listą BS Zchn,Bullets Zchn,List Paragraph 1 Zchn,References Zchn,List Paragraph (numbered (a)) Zchn,IBL List Paragraph Zchn"/>
    <w:link w:val="Listenabsatz"/>
    <w:uiPriority w:val="34"/>
    <w:locked/>
    <w:rsid w:val="005B0A45"/>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246965848">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52061700">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3CA3-F8E0-459B-A9BA-232667DA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Einstellungen\Hans\Desktop\41-7-tor-werk-de.dot</Template>
  <TotalTime>0</TotalTime>
  <Pages>9</Pages>
  <Words>2922</Words>
  <Characters>18412</Characters>
  <Application>Microsoft Office Word</Application>
  <DocSecurity>0</DocSecurity>
  <Lines>153</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Wimbauer, Benedikt GIZ AM</cp:lastModifiedBy>
  <cp:revision>5</cp:revision>
  <cp:lastPrinted>2018-03-28T13:39:00Z</cp:lastPrinted>
  <dcterms:created xsi:type="dcterms:W3CDTF">2021-03-02T09:29:00Z</dcterms:created>
  <dcterms:modified xsi:type="dcterms:W3CDTF">2021-03-03T05:46:00Z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